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4A6A" w14:textId="112FDB2D" w:rsidR="009F5FEE" w:rsidRPr="009F3E1F" w:rsidRDefault="007F797B" w:rsidP="00664442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3C7F7C">
        <w:rPr>
          <w:b/>
          <w:bCs/>
          <w:color w:val="FF0000"/>
          <w:sz w:val="28"/>
          <w:szCs w:val="28"/>
        </w:rPr>
        <w:t>Lease Accounting</w:t>
      </w:r>
    </w:p>
    <w:p w14:paraId="39C98C26" w14:textId="77777777" w:rsidR="008F787B" w:rsidRDefault="008F787B" w:rsidP="00664442">
      <w:pPr>
        <w:spacing w:after="0" w:line="240" w:lineRule="auto"/>
      </w:pPr>
    </w:p>
    <w:p w14:paraId="32659AD8" w14:textId="376506FB" w:rsidR="009B34E7" w:rsidRDefault="00811C7F" w:rsidP="00664442">
      <w:pPr>
        <w:spacing w:after="0" w:line="240" w:lineRule="auto"/>
      </w:pPr>
      <w:r>
        <w:t xml:space="preserve">The district may enter into lease agreements </w:t>
      </w:r>
      <w:r w:rsidR="00387B14">
        <w:t>when financing a right-to-use asset</w:t>
      </w:r>
      <w:r w:rsidR="00E90B2A">
        <w:t xml:space="preserve"> is more advantageous to the district than an outright purchase of that asse</w:t>
      </w:r>
      <w:r w:rsidR="002C2B64">
        <w:t>t.</w:t>
      </w:r>
      <w:r w:rsidR="007F741A">
        <w:t xml:space="preserve"> </w:t>
      </w:r>
      <w:r w:rsidR="00F54702">
        <w:t xml:space="preserve">Accounting </w:t>
      </w:r>
      <w:r w:rsidR="00D97F6B">
        <w:t xml:space="preserve">and reporting </w:t>
      </w:r>
      <w:r w:rsidR="00F54702">
        <w:t>for lease</w:t>
      </w:r>
      <w:r w:rsidR="002C2B64">
        <w:t xml:space="preserve"> agreements</w:t>
      </w:r>
      <w:r w:rsidR="00F54702">
        <w:t xml:space="preserve"> </w:t>
      </w:r>
      <w:r w:rsidR="009F3E1F">
        <w:t>is</w:t>
      </w:r>
      <w:r w:rsidR="00F54702">
        <w:t xml:space="preserve"> governed by GASB </w:t>
      </w:r>
      <w:r w:rsidR="00D97F6B">
        <w:t>S</w:t>
      </w:r>
      <w:r w:rsidR="00F54702">
        <w:t xml:space="preserve">tatement </w:t>
      </w:r>
      <w:r w:rsidR="00D97F6B">
        <w:t>N</w:t>
      </w:r>
      <w:r w:rsidR="004B0128">
        <w:t>o. 87</w:t>
      </w:r>
      <w:r w:rsidR="00D97F6B">
        <w:t xml:space="preserve">, which </w:t>
      </w:r>
      <w:r w:rsidR="00DE6D34">
        <w:t xml:space="preserve">developed a single model of lease accounting based </w:t>
      </w:r>
      <w:r w:rsidR="00593BDF">
        <w:t xml:space="preserve">on the principle </w:t>
      </w:r>
      <w:r w:rsidR="00BC6D14">
        <w:t xml:space="preserve">that leases are financings of the right to use an underlying asset. </w:t>
      </w:r>
      <w:r w:rsidR="00A23A5C">
        <w:t>GASB Statement No. 87 requires recognition of a lease liability and</w:t>
      </w:r>
      <w:r w:rsidR="00C20707">
        <w:t xml:space="preserve"> right-to-use asset for lessees and</w:t>
      </w:r>
      <w:r w:rsidR="008F714E">
        <w:t xml:space="preserve"> a lease receivable </w:t>
      </w:r>
      <w:r w:rsidR="00CA01A8">
        <w:t>and deferred inflow of resources for a lessor</w:t>
      </w:r>
      <w:r w:rsidR="00B62AAC">
        <w:t xml:space="preserve">. </w:t>
      </w:r>
    </w:p>
    <w:p w14:paraId="295CA0BF" w14:textId="77777777" w:rsidR="009B34E7" w:rsidRDefault="009B34E7" w:rsidP="00664442">
      <w:pPr>
        <w:spacing w:after="0" w:line="240" w:lineRule="auto"/>
      </w:pPr>
    </w:p>
    <w:p w14:paraId="0A2F00F4" w14:textId="0234212C" w:rsidR="00AD57C4" w:rsidRPr="008F787B" w:rsidRDefault="000A72E5" w:rsidP="00664442">
      <w:pPr>
        <w:spacing w:after="0" w:line="240" w:lineRule="auto"/>
        <w:rPr>
          <w:color w:val="7030A0"/>
        </w:rPr>
      </w:pPr>
      <w:r>
        <w:t xml:space="preserve">The Finance Division </w:t>
      </w:r>
      <w:r w:rsidR="00700C74">
        <w:t>wil</w:t>
      </w:r>
      <w:r w:rsidR="000E2672">
        <w:t>l evaluate all lease agreements</w:t>
      </w:r>
      <w:r w:rsidR="00C35AA5">
        <w:t xml:space="preserve"> </w:t>
      </w:r>
      <w:r w:rsidR="007E3C22">
        <w:t xml:space="preserve">executed by the district to </w:t>
      </w:r>
      <w:r w:rsidR="00C35AA5">
        <w:t xml:space="preserve">determine </w:t>
      </w:r>
      <w:r w:rsidR="00A56693">
        <w:t>proper accounting and reporting for those leases</w:t>
      </w:r>
      <w:r w:rsidR="00507B4C">
        <w:t>.</w:t>
      </w:r>
      <w:r w:rsidR="005B1E0A">
        <w:t xml:space="preserve"> </w:t>
      </w:r>
      <w:r w:rsidR="005910F2">
        <w:t xml:space="preserve">The </w:t>
      </w:r>
      <w:r w:rsidR="007E1789">
        <w:t xml:space="preserve">lease </w:t>
      </w:r>
      <w:r w:rsidR="005910F2">
        <w:t>contracts will be reviewed</w:t>
      </w:r>
      <w:r w:rsidR="007E1789">
        <w:t xml:space="preserve"> to determine if the agreement falls </w:t>
      </w:r>
      <w:r w:rsidR="004142CF">
        <w:t xml:space="preserve">under the provisions of GASB 87. </w:t>
      </w:r>
    </w:p>
    <w:p w14:paraId="000CAC85" w14:textId="77777777" w:rsidR="00AD57C4" w:rsidRDefault="00AD57C4" w:rsidP="00664442">
      <w:pPr>
        <w:spacing w:after="0" w:line="240" w:lineRule="auto"/>
      </w:pPr>
    </w:p>
    <w:p w14:paraId="6D710507" w14:textId="2FAF6A33" w:rsidR="00A70005" w:rsidRPr="00A70005" w:rsidRDefault="00A70005" w:rsidP="00664442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A70005">
        <w:rPr>
          <w:b/>
          <w:bCs/>
          <w:color w:val="4472C4" w:themeColor="accent1"/>
          <w:sz w:val="24"/>
          <w:szCs w:val="24"/>
        </w:rPr>
        <w:t>Definitions</w:t>
      </w:r>
    </w:p>
    <w:p w14:paraId="1B3DDF62" w14:textId="77777777" w:rsidR="00A70005" w:rsidRDefault="00A70005" w:rsidP="00664442">
      <w:pPr>
        <w:spacing w:after="0" w:line="240" w:lineRule="auto"/>
        <w:rPr>
          <w:b/>
          <w:bCs/>
        </w:rPr>
      </w:pPr>
    </w:p>
    <w:p w14:paraId="22D7072C" w14:textId="4099F96F" w:rsidR="00BF4986" w:rsidRPr="006D6EC2" w:rsidRDefault="00983736" w:rsidP="00664442">
      <w:pPr>
        <w:spacing w:after="0" w:line="240" w:lineRule="auto"/>
      </w:pPr>
      <w:r w:rsidRPr="006D6EC2">
        <w:t>Lease -</w:t>
      </w:r>
      <w:r w:rsidRPr="006D6EC2">
        <w:rPr>
          <w:b/>
          <w:bCs/>
        </w:rPr>
        <w:t xml:space="preserve"> </w:t>
      </w:r>
      <w:r w:rsidR="00664442" w:rsidRPr="006D6EC2">
        <w:t xml:space="preserve">A lease is a contract that conveys control of the right to use another entity’s nonfinancial asset for </w:t>
      </w:r>
      <w:proofErr w:type="gramStart"/>
      <w:r w:rsidR="00664442" w:rsidRPr="006D6EC2">
        <w:t>a period of time</w:t>
      </w:r>
      <w:proofErr w:type="gramEnd"/>
      <w:r w:rsidR="00664442" w:rsidRPr="006D6EC2">
        <w:t xml:space="preserve"> in an exchange or exchange-like transaction. Examples of nonfinancial assets include buildings, land, vehicles, and equipment.</w:t>
      </w:r>
      <w:r w:rsidR="008840CE" w:rsidRPr="006D6EC2">
        <w:t xml:space="preserve"> </w:t>
      </w:r>
    </w:p>
    <w:p w14:paraId="6E02DCA1" w14:textId="7ED70D5D" w:rsidR="00983736" w:rsidRPr="006D6EC2" w:rsidRDefault="00983736" w:rsidP="00664442">
      <w:pPr>
        <w:spacing w:after="0" w:line="240" w:lineRule="auto"/>
      </w:pPr>
    </w:p>
    <w:p w14:paraId="52401B7E" w14:textId="77777777" w:rsidR="00C95528" w:rsidRPr="006D6EC2" w:rsidRDefault="00C95528" w:rsidP="00C95528">
      <w:pPr>
        <w:spacing w:after="0" w:line="240" w:lineRule="auto"/>
      </w:pPr>
      <w:r w:rsidRPr="006D6EC2">
        <w:t>Lease Term – The period during which a lessee has a noncancelable right to use an underlying asset, plus the following periods, if applicable:</w:t>
      </w:r>
    </w:p>
    <w:p w14:paraId="006B9555" w14:textId="77777777" w:rsidR="00C95528" w:rsidRPr="006D6EC2" w:rsidRDefault="00C95528" w:rsidP="00C95528">
      <w:pPr>
        <w:spacing w:after="0" w:line="240" w:lineRule="auto"/>
      </w:pPr>
    </w:p>
    <w:p w14:paraId="3A4C8837" w14:textId="5BB0A18F" w:rsidR="00C95528" w:rsidRPr="006D6EC2" w:rsidRDefault="00C95528" w:rsidP="00BD017C">
      <w:pPr>
        <w:pStyle w:val="ListParagraph"/>
        <w:numPr>
          <w:ilvl w:val="0"/>
          <w:numId w:val="3"/>
        </w:numPr>
        <w:spacing w:after="0" w:line="240" w:lineRule="auto"/>
      </w:pPr>
      <w:r w:rsidRPr="006D6EC2">
        <w:t>Periods covered by a lessee's option to extend the lease if it is reasonably certain, based on all relevant factors, that the lessee will exercise that option.</w:t>
      </w:r>
    </w:p>
    <w:p w14:paraId="25127183" w14:textId="4341C6A7" w:rsidR="00C95528" w:rsidRPr="006D6EC2" w:rsidRDefault="00C95528" w:rsidP="00BD017C">
      <w:pPr>
        <w:pStyle w:val="ListParagraph"/>
        <w:numPr>
          <w:ilvl w:val="0"/>
          <w:numId w:val="3"/>
        </w:numPr>
        <w:spacing w:after="0" w:line="240" w:lineRule="auto"/>
      </w:pPr>
      <w:r w:rsidRPr="006D6EC2">
        <w:t>Periods covered by a lessee's option to terminate the lease if it is reasonably certain, based on all relevant factors, that the lessee will not exercise that option.</w:t>
      </w:r>
    </w:p>
    <w:p w14:paraId="4F997120" w14:textId="265C1901" w:rsidR="00C95528" w:rsidRPr="006D6EC2" w:rsidRDefault="00C95528" w:rsidP="00BD017C">
      <w:pPr>
        <w:pStyle w:val="ListParagraph"/>
        <w:numPr>
          <w:ilvl w:val="0"/>
          <w:numId w:val="3"/>
        </w:numPr>
        <w:spacing w:after="0" w:line="240" w:lineRule="auto"/>
      </w:pPr>
      <w:r w:rsidRPr="006D6EC2">
        <w:t>Periods covered by a lessor's option to extend the lease if it is reasonably certain, based on all relevant factors, that the lessor will exercise that option.</w:t>
      </w:r>
    </w:p>
    <w:p w14:paraId="1B2892D0" w14:textId="4AFE3254" w:rsidR="00983736" w:rsidRPr="006D6EC2" w:rsidRDefault="00C95528" w:rsidP="00BD017C">
      <w:pPr>
        <w:pStyle w:val="ListParagraph"/>
        <w:numPr>
          <w:ilvl w:val="0"/>
          <w:numId w:val="3"/>
        </w:numPr>
        <w:spacing w:after="0" w:line="240" w:lineRule="auto"/>
      </w:pPr>
      <w:r w:rsidRPr="006D6EC2">
        <w:t>Periods covered by a lessor's option to terminate the lease if it is reasonably certain, based on all relevant factors, that the lessor will not exercise that option.</w:t>
      </w:r>
    </w:p>
    <w:p w14:paraId="14DDA91E" w14:textId="4FAE3231" w:rsidR="00E0105C" w:rsidRPr="006D6EC2" w:rsidRDefault="00E0105C" w:rsidP="00464037">
      <w:pPr>
        <w:spacing w:after="0" w:line="240" w:lineRule="auto"/>
      </w:pPr>
    </w:p>
    <w:p w14:paraId="68C8599D" w14:textId="571E4E36" w:rsidR="00464037" w:rsidRPr="006D6EC2" w:rsidRDefault="00464037" w:rsidP="00464037">
      <w:pPr>
        <w:spacing w:after="0" w:line="240" w:lineRule="auto"/>
      </w:pPr>
      <w:r w:rsidRPr="006D6EC2">
        <w:t>Short-Term Lease – A lease that, at the commencement of the lease term, has a maximum possible term under the lease contract of 12 months or less, including any options to extend, regardless of their probability of being exercised.</w:t>
      </w:r>
    </w:p>
    <w:p w14:paraId="40AB638E" w14:textId="0A1714AF" w:rsidR="00EE1DF4" w:rsidRPr="006D6EC2" w:rsidRDefault="00EE1DF4" w:rsidP="00464037">
      <w:pPr>
        <w:spacing w:after="0" w:line="240" w:lineRule="auto"/>
      </w:pPr>
    </w:p>
    <w:p w14:paraId="328125BD" w14:textId="76C351F2" w:rsidR="00EE1DF4" w:rsidRPr="006D6EC2" w:rsidRDefault="002D2CE3" w:rsidP="00464037">
      <w:pPr>
        <w:spacing w:after="0" w:line="240" w:lineRule="auto"/>
      </w:pPr>
      <w:r w:rsidRPr="006D6EC2">
        <w:t xml:space="preserve">Present Value – </w:t>
      </w:r>
      <w:r w:rsidR="006079C7" w:rsidRPr="006D6EC2">
        <w:t>The c</w:t>
      </w:r>
      <w:r w:rsidRPr="006D6EC2">
        <w:t xml:space="preserve">urrent </w:t>
      </w:r>
      <w:r w:rsidR="006079C7" w:rsidRPr="006D6EC2">
        <w:t>value</w:t>
      </w:r>
      <w:r w:rsidRPr="006D6EC2">
        <w:t xml:space="preserve"> of </w:t>
      </w:r>
      <w:r w:rsidR="006079C7" w:rsidRPr="006D6EC2">
        <w:t xml:space="preserve">a </w:t>
      </w:r>
      <w:r w:rsidRPr="006D6EC2">
        <w:t>future sum of money</w:t>
      </w:r>
      <w:r w:rsidR="006079C7" w:rsidRPr="006D6EC2">
        <w:t>.</w:t>
      </w:r>
    </w:p>
    <w:p w14:paraId="3E2BAA00" w14:textId="2C2589DC" w:rsidR="006079C7" w:rsidRPr="006D6EC2" w:rsidRDefault="006079C7" w:rsidP="00464037">
      <w:pPr>
        <w:spacing w:after="0" w:line="240" w:lineRule="auto"/>
      </w:pPr>
    </w:p>
    <w:p w14:paraId="372677D1" w14:textId="37727EB2" w:rsidR="006079C7" w:rsidRDefault="005F740B" w:rsidP="00464037">
      <w:pPr>
        <w:spacing w:after="0" w:line="240" w:lineRule="auto"/>
      </w:pPr>
      <w:r w:rsidRPr="006D6EC2">
        <w:t xml:space="preserve">Bargain Purchase Option - </w:t>
      </w:r>
      <w:r w:rsidR="00C402BA" w:rsidRPr="006D6EC2">
        <w:t>a clause in a lease agreement that allows the lessee to purchase the leased asset for substantially less than its fair market value as of the termination date of the lease.</w:t>
      </w:r>
    </w:p>
    <w:p w14:paraId="514D15D3" w14:textId="77777777" w:rsidR="009F5FEE" w:rsidRDefault="009F5FEE" w:rsidP="009F5FEE">
      <w:pPr>
        <w:spacing w:after="0" w:line="240" w:lineRule="auto"/>
      </w:pPr>
    </w:p>
    <w:p w14:paraId="41B251EB" w14:textId="00F63427" w:rsidR="00380A32" w:rsidRPr="00961D3E" w:rsidRDefault="0041722D" w:rsidP="00380A32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961D3E">
        <w:rPr>
          <w:b/>
          <w:bCs/>
          <w:color w:val="4472C4" w:themeColor="accent1"/>
          <w:sz w:val="24"/>
          <w:szCs w:val="24"/>
        </w:rPr>
        <w:t xml:space="preserve">Recognition </w:t>
      </w:r>
      <w:r w:rsidR="00ED38A1" w:rsidRPr="00961D3E">
        <w:rPr>
          <w:b/>
          <w:bCs/>
          <w:color w:val="4472C4" w:themeColor="accent1"/>
          <w:sz w:val="24"/>
          <w:szCs w:val="24"/>
        </w:rPr>
        <w:t>and Measurement</w:t>
      </w:r>
    </w:p>
    <w:p w14:paraId="003B7CFC" w14:textId="05368799" w:rsidR="00ED38A1" w:rsidRPr="00266224" w:rsidRDefault="00ED38A1" w:rsidP="00380A32">
      <w:pPr>
        <w:spacing w:after="0" w:line="240" w:lineRule="auto"/>
        <w:rPr>
          <w:b/>
          <w:bCs/>
          <w:color w:val="4472C4" w:themeColor="accent1"/>
          <w:sz w:val="24"/>
          <w:szCs w:val="24"/>
          <w:highlight w:val="yellow"/>
        </w:rPr>
      </w:pPr>
    </w:p>
    <w:p w14:paraId="17FCB277" w14:textId="6DE79F79" w:rsidR="00ED38A1" w:rsidRPr="00961D3E" w:rsidRDefault="00E36296" w:rsidP="00380A32">
      <w:pPr>
        <w:spacing w:after="0" w:line="240" w:lineRule="auto"/>
        <w:rPr>
          <w:b/>
          <w:bCs/>
        </w:rPr>
      </w:pPr>
      <w:r w:rsidRPr="00961D3E">
        <w:rPr>
          <w:b/>
          <w:bCs/>
        </w:rPr>
        <w:t>Lessee</w:t>
      </w:r>
      <w:r w:rsidR="00035A07" w:rsidRPr="00961D3E">
        <w:rPr>
          <w:b/>
          <w:bCs/>
        </w:rPr>
        <w:t xml:space="preserve"> Accounting</w:t>
      </w:r>
      <w:r w:rsidRPr="00961D3E">
        <w:rPr>
          <w:b/>
          <w:bCs/>
        </w:rPr>
        <w:t>:</w:t>
      </w:r>
    </w:p>
    <w:p w14:paraId="05A002ED" w14:textId="5D4634F3" w:rsidR="00E36296" w:rsidRPr="00961D3E" w:rsidRDefault="002C2342" w:rsidP="002C2342">
      <w:pPr>
        <w:spacing w:after="0" w:line="240" w:lineRule="auto"/>
      </w:pPr>
      <w:r w:rsidRPr="00961D3E">
        <w:t xml:space="preserve">At the commencement of </w:t>
      </w:r>
      <w:r w:rsidR="00234BFB" w:rsidRPr="00961D3E">
        <w:t>a recognized</w:t>
      </w:r>
      <w:r w:rsidRPr="00961D3E">
        <w:t xml:space="preserve"> lease, a lessee should recognize a lease liability and an intangible right-to-use lease asset. </w:t>
      </w:r>
    </w:p>
    <w:p w14:paraId="64DA7083" w14:textId="2B1B2DC1" w:rsidR="002C2342" w:rsidRPr="00961D3E" w:rsidRDefault="002C2342" w:rsidP="002C2342">
      <w:pPr>
        <w:spacing w:after="0" w:line="240" w:lineRule="auto"/>
      </w:pPr>
    </w:p>
    <w:p w14:paraId="4CB708A0" w14:textId="06A14985" w:rsidR="002C2342" w:rsidRPr="00961D3E" w:rsidRDefault="00344B4A" w:rsidP="008D2E3A">
      <w:pPr>
        <w:spacing w:after="0" w:line="240" w:lineRule="auto"/>
      </w:pPr>
      <w:r w:rsidRPr="00961D3E">
        <w:lastRenderedPageBreak/>
        <w:t xml:space="preserve">Lease Liability - </w:t>
      </w:r>
      <w:r w:rsidR="008D2E3A" w:rsidRPr="00961D3E">
        <w:t>A lessee initially should measure the lease liability at the present value of</w:t>
      </w:r>
      <w:r w:rsidRPr="00961D3E">
        <w:t xml:space="preserve"> </w:t>
      </w:r>
      <w:r w:rsidR="008D2E3A" w:rsidRPr="00961D3E">
        <w:t>payments</w:t>
      </w:r>
      <w:r w:rsidRPr="00961D3E">
        <w:t xml:space="preserve"> </w:t>
      </w:r>
      <w:r w:rsidR="008D2E3A" w:rsidRPr="00961D3E">
        <w:t>expected to be made during the lease term. Measurement of the</w:t>
      </w:r>
      <w:r w:rsidRPr="00961D3E">
        <w:t xml:space="preserve"> </w:t>
      </w:r>
      <w:r w:rsidR="008D2E3A" w:rsidRPr="00961D3E">
        <w:t>lease liability should include the following, if required by a lease:</w:t>
      </w:r>
    </w:p>
    <w:p w14:paraId="0537E133" w14:textId="77777777" w:rsidR="00176378" w:rsidRPr="00961D3E" w:rsidRDefault="00176378" w:rsidP="00074991">
      <w:pPr>
        <w:spacing w:after="0" w:line="240" w:lineRule="auto"/>
        <w:ind w:firstLine="720"/>
      </w:pPr>
      <w:r w:rsidRPr="00961D3E">
        <w:t>a. Fixed payments</w:t>
      </w:r>
    </w:p>
    <w:p w14:paraId="184F7E64" w14:textId="0F5EA0AC" w:rsidR="00176378" w:rsidRPr="00961D3E" w:rsidRDefault="00176378" w:rsidP="00882081">
      <w:pPr>
        <w:spacing w:after="0" w:line="240" w:lineRule="auto"/>
        <w:ind w:left="720"/>
      </w:pPr>
      <w:r w:rsidRPr="00961D3E">
        <w:t>b. Variable payments that depend on an index or a rate (such as the Consumer</w:t>
      </w:r>
      <w:r w:rsidR="00882081" w:rsidRPr="00961D3E">
        <w:t xml:space="preserve"> </w:t>
      </w:r>
      <w:r w:rsidRPr="00961D3E">
        <w:t>Price Index or a market interest rate), initially measured using the index or</w:t>
      </w:r>
      <w:r w:rsidR="00882081" w:rsidRPr="00961D3E">
        <w:t xml:space="preserve"> </w:t>
      </w:r>
      <w:r w:rsidRPr="00961D3E">
        <w:t>rate as of the commencement of the lease term</w:t>
      </w:r>
    </w:p>
    <w:p w14:paraId="3CB07D99" w14:textId="0D9E61CE" w:rsidR="00176378" w:rsidRPr="00961D3E" w:rsidRDefault="00176378" w:rsidP="00074991">
      <w:pPr>
        <w:spacing w:after="0" w:line="240" w:lineRule="auto"/>
        <w:ind w:firstLine="720"/>
      </w:pPr>
      <w:r w:rsidRPr="00961D3E">
        <w:t>c. Variable payments that are fixed in substance</w:t>
      </w:r>
    </w:p>
    <w:p w14:paraId="7AA7263E" w14:textId="4ED2700B" w:rsidR="00176378" w:rsidRPr="00961D3E" w:rsidRDefault="00176378" w:rsidP="00882081">
      <w:pPr>
        <w:spacing w:after="0" w:line="240" w:lineRule="auto"/>
        <w:ind w:left="720"/>
      </w:pPr>
      <w:r w:rsidRPr="00961D3E">
        <w:t>d. Amounts that are reasonably certain of being required to be paid by the</w:t>
      </w:r>
      <w:r w:rsidR="00882081" w:rsidRPr="00961D3E">
        <w:t xml:space="preserve"> </w:t>
      </w:r>
      <w:r w:rsidRPr="00961D3E">
        <w:t>lessee under residual value guarantees</w:t>
      </w:r>
    </w:p>
    <w:p w14:paraId="4DE1DC41" w14:textId="58E19FA6" w:rsidR="00176378" w:rsidRPr="00961D3E" w:rsidRDefault="00176378" w:rsidP="00704D52">
      <w:pPr>
        <w:spacing w:after="0" w:line="240" w:lineRule="auto"/>
        <w:ind w:left="720"/>
      </w:pPr>
      <w:r w:rsidRPr="00961D3E">
        <w:t>e. The exercise price of a purchase option if it is reasonably certain that the</w:t>
      </w:r>
      <w:r w:rsidR="00704D52" w:rsidRPr="00961D3E">
        <w:t xml:space="preserve"> </w:t>
      </w:r>
      <w:r w:rsidRPr="00961D3E">
        <w:t>lessee will exercise that option</w:t>
      </w:r>
    </w:p>
    <w:p w14:paraId="1A69135A" w14:textId="04D43091" w:rsidR="00176378" w:rsidRPr="00961D3E" w:rsidRDefault="00176378" w:rsidP="00704D52">
      <w:pPr>
        <w:spacing w:after="0" w:line="240" w:lineRule="auto"/>
        <w:ind w:left="720"/>
      </w:pPr>
      <w:r w:rsidRPr="00961D3E">
        <w:t>f. Payments for penalties for terminating the lease, if the lease term reflects</w:t>
      </w:r>
      <w:r w:rsidR="00704D52" w:rsidRPr="00961D3E">
        <w:t xml:space="preserve"> </w:t>
      </w:r>
      <w:r w:rsidRPr="00961D3E">
        <w:t>the lessee</w:t>
      </w:r>
      <w:r w:rsidR="00704D52" w:rsidRPr="00961D3E">
        <w:t xml:space="preserve"> </w:t>
      </w:r>
      <w:r w:rsidRPr="00961D3E">
        <w:t>exercising (1) an option to terminate the lease or (2) a fiscal</w:t>
      </w:r>
      <w:r w:rsidR="00704D52" w:rsidRPr="00961D3E">
        <w:t xml:space="preserve"> </w:t>
      </w:r>
      <w:r w:rsidRPr="00961D3E">
        <w:t>funding or cancellation clause</w:t>
      </w:r>
    </w:p>
    <w:p w14:paraId="530CE6DB" w14:textId="13960D46" w:rsidR="00176378" w:rsidRPr="00961D3E" w:rsidRDefault="00176378" w:rsidP="001631AA">
      <w:pPr>
        <w:spacing w:after="0" w:line="240" w:lineRule="auto"/>
        <w:ind w:firstLine="720"/>
      </w:pPr>
      <w:r w:rsidRPr="00961D3E">
        <w:t>g. Any lease incentives receivable from</w:t>
      </w:r>
      <w:r w:rsidR="001631AA" w:rsidRPr="00961D3E">
        <w:t xml:space="preserve"> </w:t>
      </w:r>
      <w:r w:rsidRPr="00961D3E">
        <w:t>the lessor</w:t>
      </w:r>
    </w:p>
    <w:p w14:paraId="748E1601" w14:textId="282A48D2" w:rsidR="00344B4A" w:rsidRDefault="00176378" w:rsidP="00704D52">
      <w:pPr>
        <w:spacing w:after="0" w:line="240" w:lineRule="auto"/>
        <w:ind w:left="720"/>
      </w:pPr>
      <w:r w:rsidRPr="00961D3E">
        <w:t>h. Any other payments that are reasonably certain of being required based on</w:t>
      </w:r>
      <w:r w:rsidR="00704D52" w:rsidRPr="00961D3E">
        <w:t xml:space="preserve"> </w:t>
      </w:r>
      <w:r w:rsidRPr="00961D3E">
        <w:t>an assessment of all relevant factors.</w:t>
      </w:r>
    </w:p>
    <w:p w14:paraId="7108BDC1" w14:textId="4D3BDDDE" w:rsidR="00537A5B" w:rsidRDefault="00537A5B" w:rsidP="00537A5B">
      <w:pPr>
        <w:spacing w:after="0" w:line="240" w:lineRule="auto"/>
      </w:pPr>
    </w:p>
    <w:p w14:paraId="0CBB6A0A" w14:textId="5380A302" w:rsidR="00537A5B" w:rsidRDefault="000727D7" w:rsidP="000727D7">
      <w:pPr>
        <w:spacing w:after="0" w:line="240" w:lineRule="auto"/>
      </w:pPr>
      <w:r>
        <w:t xml:space="preserve">Interest Rate - </w:t>
      </w:r>
      <w:r w:rsidRPr="001365CA">
        <w:t>To calculate the incremental borrowing rat</w:t>
      </w:r>
      <w:r w:rsidR="00590EB7" w:rsidRPr="001365CA">
        <w:t>e</w:t>
      </w:r>
      <w:r w:rsidR="00312B33">
        <w:t xml:space="preserve"> the district will take </w:t>
      </w:r>
      <w:r w:rsidR="00AC01C0">
        <w:t xml:space="preserve">the </w:t>
      </w:r>
      <w:r w:rsidR="001365CA">
        <w:t>risk-free</w:t>
      </w:r>
      <w:r w:rsidR="00AC01C0">
        <w:t xml:space="preserve"> rate of return </w:t>
      </w:r>
      <w:r w:rsidR="00C54D20">
        <w:t xml:space="preserve">as </w:t>
      </w:r>
      <w:r w:rsidR="00811CD2">
        <w:t xml:space="preserve">of the lease effective date </w:t>
      </w:r>
      <w:r w:rsidR="001365CA">
        <w:t xml:space="preserve">(or as close to the date as possible) </w:t>
      </w:r>
      <w:r w:rsidR="00811CD2">
        <w:t>plus an average additiona</w:t>
      </w:r>
      <w:r w:rsidR="00AD6645">
        <w:t xml:space="preserve">l risk premium </w:t>
      </w:r>
      <w:r w:rsidR="003F29D6">
        <w:t xml:space="preserve">based upon three different banks and the credit rating of the district at the time of the agreement. </w:t>
      </w:r>
    </w:p>
    <w:p w14:paraId="73A60B09" w14:textId="77777777" w:rsidR="000727D7" w:rsidRDefault="000727D7" w:rsidP="000727D7">
      <w:pPr>
        <w:spacing w:after="0" w:line="240" w:lineRule="auto"/>
      </w:pPr>
    </w:p>
    <w:p w14:paraId="5430947F" w14:textId="442B1B4C" w:rsidR="00132EB9" w:rsidRPr="009F4C1D" w:rsidRDefault="00132EB9" w:rsidP="00617EB7">
      <w:pPr>
        <w:spacing w:after="0" w:line="240" w:lineRule="auto"/>
      </w:pPr>
      <w:r w:rsidRPr="009F4C1D">
        <w:t xml:space="preserve">Lease Asset- </w:t>
      </w:r>
      <w:r w:rsidR="00617EB7" w:rsidRPr="009F4C1D">
        <w:t>A lessee initially should measure the lease asset as the sum of the</w:t>
      </w:r>
      <w:r w:rsidR="001844F8" w:rsidRPr="009F4C1D">
        <w:t xml:space="preserve"> f</w:t>
      </w:r>
      <w:r w:rsidR="00617EB7" w:rsidRPr="009F4C1D">
        <w:t>ollowing:</w:t>
      </w:r>
    </w:p>
    <w:p w14:paraId="5647A9C2" w14:textId="6E10F5E8" w:rsidR="00035A07" w:rsidRPr="009F4C1D" w:rsidRDefault="00035A07" w:rsidP="00035A07">
      <w:pPr>
        <w:spacing w:after="0" w:line="240" w:lineRule="auto"/>
        <w:ind w:firstLine="720"/>
      </w:pPr>
      <w:r w:rsidRPr="009F4C1D">
        <w:t>a. The amount of the initial measurement of the lease liability</w:t>
      </w:r>
    </w:p>
    <w:p w14:paraId="203609B7" w14:textId="5DED6FB7" w:rsidR="00035A07" w:rsidRPr="009F4C1D" w:rsidRDefault="00035A07" w:rsidP="008A2341">
      <w:pPr>
        <w:spacing w:after="0" w:line="240" w:lineRule="auto"/>
        <w:ind w:left="720"/>
      </w:pPr>
      <w:r w:rsidRPr="009F4C1D">
        <w:t>b. Lease payments made to the lessor at or before the commencement of the</w:t>
      </w:r>
      <w:r w:rsidR="008A2341" w:rsidRPr="009F4C1D">
        <w:t xml:space="preserve"> </w:t>
      </w:r>
      <w:r w:rsidRPr="009F4C1D">
        <w:t>lease term, less</w:t>
      </w:r>
      <w:r w:rsidR="008A2341" w:rsidRPr="009F4C1D">
        <w:t xml:space="preserve"> </w:t>
      </w:r>
      <w:r w:rsidRPr="009F4C1D">
        <w:t>any lease incentives received from the lessor at or before the commencement of the lease term</w:t>
      </w:r>
    </w:p>
    <w:p w14:paraId="44C2F9B7" w14:textId="369383C5" w:rsidR="001844F8" w:rsidRPr="009F4C1D" w:rsidRDefault="00035A07" w:rsidP="008A2341">
      <w:pPr>
        <w:spacing w:after="0" w:line="240" w:lineRule="auto"/>
        <w:ind w:firstLine="720"/>
      </w:pPr>
      <w:r w:rsidRPr="009F4C1D">
        <w:t>c. Initial direct costs that are ancillary charges necessary to place the lease</w:t>
      </w:r>
      <w:r w:rsidR="008A2341" w:rsidRPr="009F4C1D">
        <w:t xml:space="preserve"> </w:t>
      </w:r>
      <w:r w:rsidRPr="009F4C1D">
        <w:t>asset into service.</w:t>
      </w:r>
    </w:p>
    <w:p w14:paraId="00FF9161" w14:textId="338A0ED4" w:rsidR="001765DD" w:rsidRPr="009F4C1D" w:rsidRDefault="001765DD" w:rsidP="001765DD">
      <w:pPr>
        <w:spacing w:after="0" w:line="240" w:lineRule="auto"/>
      </w:pPr>
    </w:p>
    <w:p w14:paraId="378CC222" w14:textId="20C10A61" w:rsidR="009B34AF" w:rsidRDefault="001765DD" w:rsidP="002267C0">
      <w:pPr>
        <w:spacing w:after="0" w:line="240" w:lineRule="auto"/>
      </w:pPr>
      <w:r w:rsidRPr="009F4C1D">
        <w:t xml:space="preserve">A lease asset </w:t>
      </w:r>
      <w:r w:rsidR="001A500A" w:rsidRPr="009F4C1D">
        <w:t>will</w:t>
      </w:r>
      <w:r w:rsidRPr="009F4C1D">
        <w:t xml:space="preserve"> be amortized </w:t>
      </w:r>
      <w:r w:rsidR="006D2E78" w:rsidRPr="009F4C1D">
        <w:t xml:space="preserve">using the </w:t>
      </w:r>
      <w:r w:rsidR="004950CD" w:rsidRPr="009F4C1D">
        <w:t>straight-line</w:t>
      </w:r>
      <w:r w:rsidR="006D2E78" w:rsidRPr="009F4C1D">
        <w:t xml:space="preserve"> method</w:t>
      </w:r>
      <w:r w:rsidRPr="009F4C1D">
        <w:t xml:space="preserve"> over the shorter of the lease term or the useful life of the underlying asset, unless there is a </w:t>
      </w:r>
      <w:r w:rsidR="00C8024C" w:rsidRPr="009F4C1D">
        <w:t xml:space="preserve">purchase option that the </w:t>
      </w:r>
      <w:r w:rsidR="004950CD" w:rsidRPr="009F4C1D">
        <w:t xml:space="preserve">district </w:t>
      </w:r>
      <w:r w:rsidR="00C8024C" w:rsidRPr="009F4C1D">
        <w:t xml:space="preserve">is reasonably certain to exercise. </w:t>
      </w:r>
      <w:r w:rsidR="004950CD" w:rsidRPr="009F4C1D">
        <w:t xml:space="preserve">Then the </w:t>
      </w:r>
      <w:r w:rsidR="00970C80" w:rsidRPr="009F4C1D">
        <w:t>leased asset will be amortized over the useful life of the underlying asset.</w:t>
      </w:r>
      <w:r w:rsidR="00970C80">
        <w:t xml:space="preserve"> </w:t>
      </w:r>
      <w:r w:rsidR="00DF024C">
        <w:t>Furthermore,</w:t>
      </w:r>
      <w:r w:rsidR="00A477C6">
        <w:t xml:space="preserve"> </w:t>
      </w:r>
      <w:r w:rsidR="00DF024C">
        <w:t xml:space="preserve">in </w:t>
      </w:r>
      <w:r w:rsidR="00A477C6">
        <w:t xml:space="preserve">the event the district </w:t>
      </w:r>
      <w:r w:rsidR="00524C99">
        <w:t xml:space="preserve">enters into a significant agreement as a lessor </w:t>
      </w:r>
      <w:r w:rsidR="00DF024C">
        <w:t xml:space="preserve">the district will apply relevant GASB 87 lessor accounting criteria. </w:t>
      </w:r>
    </w:p>
    <w:p w14:paraId="69CA8A14" w14:textId="1A201B7A" w:rsidR="001445F9" w:rsidRDefault="001445F9" w:rsidP="00664442">
      <w:pPr>
        <w:spacing w:after="0" w:line="240" w:lineRule="auto"/>
      </w:pPr>
    </w:p>
    <w:p w14:paraId="04A9C511" w14:textId="77777777" w:rsidR="00E923C2" w:rsidRDefault="00E923C2" w:rsidP="00664442">
      <w:pPr>
        <w:spacing w:after="0" w:line="240" w:lineRule="auto"/>
      </w:pPr>
    </w:p>
    <w:p w14:paraId="4238708E" w14:textId="77777777" w:rsidR="004A5945" w:rsidRDefault="004A5945" w:rsidP="00664442">
      <w:pPr>
        <w:spacing w:after="0" w:line="240" w:lineRule="auto"/>
      </w:pPr>
    </w:p>
    <w:p w14:paraId="1B3198F5" w14:textId="77777777" w:rsidR="00C21608" w:rsidRDefault="00C21608" w:rsidP="00664442">
      <w:pPr>
        <w:spacing w:after="0" w:line="240" w:lineRule="auto"/>
      </w:pPr>
    </w:p>
    <w:p w14:paraId="5F8543AA" w14:textId="77777777" w:rsidR="008A122D" w:rsidRDefault="008A122D" w:rsidP="00664442">
      <w:pPr>
        <w:spacing w:after="0" w:line="240" w:lineRule="auto"/>
      </w:pPr>
    </w:p>
    <w:p w14:paraId="50726C14" w14:textId="50A92BA8" w:rsidR="00A34567" w:rsidRDefault="00A34567" w:rsidP="00664442">
      <w:pPr>
        <w:spacing w:after="0" w:line="240" w:lineRule="auto"/>
      </w:pPr>
    </w:p>
    <w:p w14:paraId="04FCB78F" w14:textId="375ADDAB" w:rsidR="00A34567" w:rsidRDefault="00A34567" w:rsidP="00664442">
      <w:pPr>
        <w:spacing w:after="0" w:line="240" w:lineRule="auto"/>
      </w:pPr>
    </w:p>
    <w:p w14:paraId="4186F67F" w14:textId="71AB375B" w:rsidR="007F797B" w:rsidRDefault="007F797B" w:rsidP="00664442">
      <w:pPr>
        <w:spacing w:after="0" w:line="240" w:lineRule="auto"/>
      </w:pPr>
    </w:p>
    <w:p w14:paraId="50779A5D" w14:textId="77777777" w:rsidR="007F797B" w:rsidRDefault="007F797B" w:rsidP="00664442">
      <w:pPr>
        <w:spacing w:after="0" w:line="240" w:lineRule="auto"/>
      </w:pPr>
    </w:p>
    <w:p w14:paraId="47F27CFA" w14:textId="3CB16F51" w:rsidR="00664442" w:rsidRDefault="00664442" w:rsidP="00664442">
      <w:pPr>
        <w:spacing w:after="0" w:line="240" w:lineRule="auto"/>
      </w:pPr>
    </w:p>
    <w:p w14:paraId="7E0850DC" w14:textId="77777777" w:rsidR="00664442" w:rsidRDefault="00664442" w:rsidP="00664442">
      <w:pPr>
        <w:spacing w:after="0" w:line="240" w:lineRule="auto"/>
      </w:pPr>
    </w:p>
    <w:p w14:paraId="1210DE94" w14:textId="2C378A64" w:rsidR="00664442" w:rsidRDefault="00664442" w:rsidP="00664442">
      <w:pPr>
        <w:spacing w:after="0" w:line="240" w:lineRule="auto"/>
      </w:pPr>
    </w:p>
    <w:p w14:paraId="69C4E1C3" w14:textId="77777777" w:rsidR="00664442" w:rsidRDefault="00664442" w:rsidP="00664442">
      <w:pPr>
        <w:spacing w:after="0" w:line="240" w:lineRule="auto"/>
      </w:pPr>
    </w:p>
    <w:sectPr w:rsidR="0066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548B" w14:textId="77777777" w:rsidR="00B061D5" w:rsidRDefault="00B061D5" w:rsidP="00E62B89">
      <w:pPr>
        <w:spacing w:after="0" w:line="240" w:lineRule="auto"/>
      </w:pPr>
      <w:r>
        <w:separator/>
      </w:r>
    </w:p>
  </w:endnote>
  <w:endnote w:type="continuationSeparator" w:id="0">
    <w:p w14:paraId="0E6BD5D0" w14:textId="77777777" w:rsidR="00B061D5" w:rsidRDefault="00B061D5" w:rsidP="00E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BA44" w14:textId="77777777" w:rsidR="00B061D5" w:rsidRDefault="00B061D5" w:rsidP="00E62B89">
      <w:pPr>
        <w:spacing w:after="0" w:line="240" w:lineRule="auto"/>
      </w:pPr>
      <w:r>
        <w:separator/>
      </w:r>
    </w:p>
  </w:footnote>
  <w:footnote w:type="continuationSeparator" w:id="0">
    <w:p w14:paraId="5C2BF0BE" w14:textId="77777777" w:rsidR="00B061D5" w:rsidRDefault="00B061D5" w:rsidP="00E6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16234"/>
    <w:multiLevelType w:val="hybridMultilevel"/>
    <w:tmpl w:val="44560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6FF3"/>
    <w:multiLevelType w:val="hybridMultilevel"/>
    <w:tmpl w:val="6A8E3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34051"/>
    <w:multiLevelType w:val="hybridMultilevel"/>
    <w:tmpl w:val="6A8E3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281">
    <w:abstractNumId w:val="2"/>
  </w:num>
  <w:num w:numId="2" w16cid:durableId="2062552065">
    <w:abstractNumId w:val="1"/>
  </w:num>
  <w:num w:numId="3" w16cid:durableId="188679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42"/>
    <w:rsid w:val="00003CE4"/>
    <w:rsid w:val="000174B3"/>
    <w:rsid w:val="00023225"/>
    <w:rsid w:val="00035A07"/>
    <w:rsid w:val="000727D7"/>
    <w:rsid w:val="00073BD2"/>
    <w:rsid w:val="00074991"/>
    <w:rsid w:val="0007526A"/>
    <w:rsid w:val="00082D95"/>
    <w:rsid w:val="000A72E5"/>
    <w:rsid w:val="000D396C"/>
    <w:rsid w:val="000D75C8"/>
    <w:rsid w:val="000E2672"/>
    <w:rsid w:val="001019FC"/>
    <w:rsid w:val="00132E81"/>
    <w:rsid w:val="00132EB9"/>
    <w:rsid w:val="001365CA"/>
    <w:rsid w:val="00136D50"/>
    <w:rsid w:val="00143232"/>
    <w:rsid w:val="001445F9"/>
    <w:rsid w:val="00145DC6"/>
    <w:rsid w:val="00155F57"/>
    <w:rsid w:val="00157F23"/>
    <w:rsid w:val="001631AA"/>
    <w:rsid w:val="00165D14"/>
    <w:rsid w:val="00172FBB"/>
    <w:rsid w:val="00176378"/>
    <w:rsid w:val="001765DD"/>
    <w:rsid w:val="001844F8"/>
    <w:rsid w:val="001857BB"/>
    <w:rsid w:val="001A500A"/>
    <w:rsid w:val="001D0CD8"/>
    <w:rsid w:val="001D6194"/>
    <w:rsid w:val="001E0143"/>
    <w:rsid w:val="001E3AEF"/>
    <w:rsid w:val="001F18FC"/>
    <w:rsid w:val="00206A11"/>
    <w:rsid w:val="00211197"/>
    <w:rsid w:val="00215A08"/>
    <w:rsid w:val="002267C0"/>
    <w:rsid w:val="00227F26"/>
    <w:rsid w:val="00234BFB"/>
    <w:rsid w:val="0024262A"/>
    <w:rsid w:val="002513AD"/>
    <w:rsid w:val="00264F29"/>
    <w:rsid w:val="002656CE"/>
    <w:rsid w:val="00266224"/>
    <w:rsid w:val="002776E2"/>
    <w:rsid w:val="002A12CF"/>
    <w:rsid w:val="002A5ACB"/>
    <w:rsid w:val="002C2342"/>
    <w:rsid w:val="002C2B64"/>
    <w:rsid w:val="002D2CE3"/>
    <w:rsid w:val="002E7283"/>
    <w:rsid w:val="002E765E"/>
    <w:rsid w:val="00306577"/>
    <w:rsid w:val="00312B33"/>
    <w:rsid w:val="003170FD"/>
    <w:rsid w:val="00317AEA"/>
    <w:rsid w:val="0032088F"/>
    <w:rsid w:val="003225DB"/>
    <w:rsid w:val="00330F33"/>
    <w:rsid w:val="003373FC"/>
    <w:rsid w:val="00344B4A"/>
    <w:rsid w:val="00352CD4"/>
    <w:rsid w:val="00380A32"/>
    <w:rsid w:val="00386145"/>
    <w:rsid w:val="00387B14"/>
    <w:rsid w:val="003A12AB"/>
    <w:rsid w:val="003B3DE1"/>
    <w:rsid w:val="003C7F7C"/>
    <w:rsid w:val="003D264B"/>
    <w:rsid w:val="003E5D70"/>
    <w:rsid w:val="003F08B8"/>
    <w:rsid w:val="003F29D6"/>
    <w:rsid w:val="003F421A"/>
    <w:rsid w:val="00403DAC"/>
    <w:rsid w:val="004142CF"/>
    <w:rsid w:val="0041722D"/>
    <w:rsid w:val="00417EA8"/>
    <w:rsid w:val="004208A4"/>
    <w:rsid w:val="004224D8"/>
    <w:rsid w:val="00422A3B"/>
    <w:rsid w:val="004412E3"/>
    <w:rsid w:val="00447799"/>
    <w:rsid w:val="00464037"/>
    <w:rsid w:val="00472E49"/>
    <w:rsid w:val="004950CD"/>
    <w:rsid w:val="004A54E6"/>
    <w:rsid w:val="004A5945"/>
    <w:rsid w:val="004B0128"/>
    <w:rsid w:val="004B3783"/>
    <w:rsid w:val="004C7BEA"/>
    <w:rsid w:val="004D33BC"/>
    <w:rsid w:val="004E73C9"/>
    <w:rsid w:val="004F1F4E"/>
    <w:rsid w:val="00506D1B"/>
    <w:rsid w:val="00507B4C"/>
    <w:rsid w:val="00512BD1"/>
    <w:rsid w:val="005132F7"/>
    <w:rsid w:val="00524C99"/>
    <w:rsid w:val="00525A96"/>
    <w:rsid w:val="00532F26"/>
    <w:rsid w:val="005339DF"/>
    <w:rsid w:val="00537A5B"/>
    <w:rsid w:val="00575730"/>
    <w:rsid w:val="00590EB7"/>
    <w:rsid w:val="005910F2"/>
    <w:rsid w:val="00593BDF"/>
    <w:rsid w:val="005A1542"/>
    <w:rsid w:val="005B1E0A"/>
    <w:rsid w:val="005B2371"/>
    <w:rsid w:val="005C3D53"/>
    <w:rsid w:val="005C7642"/>
    <w:rsid w:val="005E467A"/>
    <w:rsid w:val="005F7381"/>
    <w:rsid w:val="005F740B"/>
    <w:rsid w:val="00604EEE"/>
    <w:rsid w:val="00605547"/>
    <w:rsid w:val="006079C7"/>
    <w:rsid w:val="00617EB7"/>
    <w:rsid w:val="00624C17"/>
    <w:rsid w:val="00624FFF"/>
    <w:rsid w:val="00625752"/>
    <w:rsid w:val="00631F30"/>
    <w:rsid w:val="00632266"/>
    <w:rsid w:val="00636C49"/>
    <w:rsid w:val="006408E1"/>
    <w:rsid w:val="006615B7"/>
    <w:rsid w:val="00664442"/>
    <w:rsid w:val="006679E5"/>
    <w:rsid w:val="006829A5"/>
    <w:rsid w:val="00691321"/>
    <w:rsid w:val="00693352"/>
    <w:rsid w:val="006A136F"/>
    <w:rsid w:val="006B4B09"/>
    <w:rsid w:val="006C030F"/>
    <w:rsid w:val="006C52E0"/>
    <w:rsid w:val="006D130F"/>
    <w:rsid w:val="006D250E"/>
    <w:rsid w:val="006D2E78"/>
    <w:rsid w:val="006D55BB"/>
    <w:rsid w:val="006D6EC2"/>
    <w:rsid w:val="006E0BBA"/>
    <w:rsid w:val="00700C74"/>
    <w:rsid w:val="00704D52"/>
    <w:rsid w:val="00707463"/>
    <w:rsid w:val="00712B1E"/>
    <w:rsid w:val="00756456"/>
    <w:rsid w:val="00770BF7"/>
    <w:rsid w:val="0077246B"/>
    <w:rsid w:val="00772FD0"/>
    <w:rsid w:val="007757CA"/>
    <w:rsid w:val="00776C7D"/>
    <w:rsid w:val="007965E5"/>
    <w:rsid w:val="00797D13"/>
    <w:rsid w:val="007B75D3"/>
    <w:rsid w:val="007E1789"/>
    <w:rsid w:val="007E3C22"/>
    <w:rsid w:val="007E5F22"/>
    <w:rsid w:val="007F4DD0"/>
    <w:rsid w:val="007F741A"/>
    <w:rsid w:val="007F797B"/>
    <w:rsid w:val="0080149E"/>
    <w:rsid w:val="00801BEB"/>
    <w:rsid w:val="00805607"/>
    <w:rsid w:val="00811C7F"/>
    <w:rsid w:val="00811CD2"/>
    <w:rsid w:val="00815773"/>
    <w:rsid w:val="00820E4A"/>
    <w:rsid w:val="00832443"/>
    <w:rsid w:val="00843832"/>
    <w:rsid w:val="00882081"/>
    <w:rsid w:val="008840CE"/>
    <w:rsid w:val="008A122D"/>
    <w:rsid w:val="008A2341"/>
    <w:rsid w:val="008B2890"/>
    <w:rsid w:val="008C064E"/>
    <w:rsid w:val="008D2E3A"/>
    <w:rsid w:val="008E49B8"/>
    <w:rsid w:val="008F042F"/>
    <w:rsid w:val="008F1707"/>
    <w:rsid w:val="008F6447"/>
    <w:rsid w:val="008F714E"/>
    <w:rsid w:val="008F787B"/>
    <w:rsid w:val="00903163"/>
    <w:rsid w:val="009034E7"/>
    <w:rsid w:val="00906A2E"/>
    <w:rsid w:val="009146DE"/>
    <w:rsid w:val="009347F6"/>
    <w:rsid w:val="00944D8F"/>
    <w:rsid w:val="00947975"/>
    <w:rsid w:val="00961D3E"/>
    <w:rsid w:val="00970C80"/>
    <w:rsid w:val="00977BFD"/>
    <w:rsid w:val="00980217"/>
    <w:rsid w:val="00983736"/>
    <w:rsid w:val="009B34AF"/>
    <w:rsid w:val="009B34E7"/>
    <w:rsid w:val="009B76EA"/>
    <w:rsid w:val="009C2688"/>
    <w:rsid w:val="009C7593"/>
    <w:rsid w:val="009D5AFA"/>
    <w:rsid w:val="009D618E"/>
    <w:rsid w:val="009E48A2"/>
    <w:rsid w:val="009F3E1F"/>
    <w:rsid w:val="009F4C1D"/>
    <w:rsid w:val="009F5FEE"/>
    <w:rsid w:val="00A0280C"/>
    <w:rsid w:val="00A10331"/>
    <w:rsid w:val="00A17B3E"/>
    <w:rsid w:val="00A23A5C"/>
    <w:rsid w:val="00A31586"/>
    <w:rsid w:val="00A34567"/>
    <w:rsid w:val="00A477C6"/>
    <w:rsid w:val="00A56693"/>
    <w:rsid w:val="00A65B7E"/>
    <w:rsid w:val="00A70005"/>
    <w:rsid w:val="00A861CF"/>
    <w:rsid w:val="00A948FF"/>
    <w:rsid w:val="00AC01C0"/>
    <w:rsid w:val="00AD57C4"/>
    <w:rsid w:val="00AD6645"/>
    <w:rsid w:val="00AD6DEB"/>
    <w:rsid w:val="00B018C1"/>
    <w:rsid w:val="00B061D5"/>
    <w:rsid w:val="00B62AAC"/>
    <w:rsid w:val="00B631A9"/>
    <w:rsid w:val="00B81BBA"/>
    <w:rsid w:val="00B921B6"/>
    <w:rsid w:val="00B93CF5"/>
    <w:rsid w:val="00BC4A25"/>
    <w:rsid w:val="00BC6D14"/>
    <w:rsid w:val="00BD017C"/>
    <w:rsid w:val="00BE4C14"/>
    <w:rsid w:val="00BF4986"/>
    <w:rsid w:val="00C0353C"/>
    <w:rsid w:val="00C044B8"/>
    <w:rsid w:val="00C06640"/>
    <w:rsid w:val="00C11977"/>
    <w:rsid w:val="00C17173"/>
    <w:rsid w:val="00C20707"/>
    <w:rsid w:val="00C21608"/>
    <w:rsid w:val="00C23D49"/>
    <w:rsid w:val="00C35AA5"/>
    <w:rsid w:val="00C402BA"/>
    <w:rsid w:val="00C45C6F"/>
    <w:rsid w:val="00C54D20"/>
    <w:rsid w:val="00C56AC8"/>
    <w:rsid w:val="00C67E7C"/>
    <w:rsid w:val="00C753F1"/>
    <w:rsid w:val="00C76B11"/>
    <w:rsid w:val="00C8024C"/>
    <w:rsid w:val="00C85142"/>
    <w:rsid w:val="00C867B1"/>
    <w:rsid w:val="00C9084D"/>
    <w:rsid w:val="00C95528"/>
    <w:rsid w:val="00CA01A8"/>
    <w:rsid w:val="00CC040A"/>
    <w:rsid w:val="00CD388C"/>
    <w:rsid w:val="00CE3509"/>
    <w:rsid w:val="00CE370A"/>
    <w:rsid w:val="00CE4CD8"/>
    <w:rsid w:val="00D037BD"/>
    <w:rsid w:val="00D03B6E"/>
    <w:rsid w:val="00D16EDD"/>
    <w:rsid w:val="00D3711D"/>
    <w:rsid w:val="00D55574"/>
    <w:rsid w:val="00D56ED1"/>
    <w:rsid w:val="00D80B58"/>
    <w:rsid w:val="00D87CC5"/>
    <w:rsid w:val="00D908FD"/>
    <w:rsid w:val="00D9485F"/>
    <w:rsid w:val="00D97F6B"/>
    <w:rsid w:val="00DB0947"/>
    <w:rsid w:val="00DB352D"/>
    <w:rsid w:val="00DB3D8B"/>
    <w:rsid w:val="00DB6EA6"/>
    <w:rsid w:val="00DD065A"/>
    <w:rsid w:val="00DE6D34"/>
    <w:rsid w:val="00DF024C"/>
    <w:rsid w:val="00E0105C"/>
    <w:rsid w:val="00E100FD"/>
    <w:rsid w:val="00E17025"/>
    <w:rsid w:val="00E268D1"/>
    <w:rsid w:val="00E278F9"/>
    <w:rsid w:val="00E31AE5"/>
    <w:rsid w:val="00E33B13"/>
    <w:rsid w:val="00E347AE"/>
    <w:rsid w:val="00E36085"/>
    <w:rsid w:val="00E36296"/>
    <w:rsid w:val="00E62B89"/>
    <w:rsid w:val="00E6309E"/>
    <w:rsid w:val="00E63CEE"/>
    <w:rsid w:val="00E83A5C"/>
    <w:rsid w:val="00E90B2A"/>
    <w:rsid w:val="00E923C2"/>
    <w:rsid w:val="00E93800"/>
    <w:rsid w:val="00EA259B"/>
    <w:rsid w:val="00ED38A1"/>
    <w:rsid w:val="00ED54F1"/>
    <w:rsid w:val="00EE1DF4"/>
    <w:rsid w:val="00EF19BB"/>
    <w:rsid w:val="00EF7C1B"/>
    <w:rsid w:val="00EF7CE9"/>
    <w:rsid w:val="00F077BF"/>
    <w:rsid w:val="00F16C59"/>
    <w:rsid w:val="00F20802"/>
    <w:rsid w:val="00F22B00"/>
    <w:rsid w:val="00F2499F"/>
    <w:rsid w:val="00F31F08"/>
    <w:rsid w:val="00F443E9"/>
    <w:rsid w:val="00F447BB"/>
    <w:rsid w:val="00F5260B"/>
    <w:rsid w:val="00F54702"/>
    <w:rsid w:val="00F558C3"/>
    <w:rsid w:val="00F64773"/>
    <w:rsid w:val="00F67BD8"/>
    <w:rsid w:val="00F74750"/>
    <w:rsid w:val="00FA5323"/>
    <w:rsid w:val="00FD27EF"/>
    <w:rsid w:val="00FE07F8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6AE81"/>
  <w15:chartTrackingRefBased/>
  <w15:docId w15:val="{405812F2-A728-4AF9-A492-11274C20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3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53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Mayer (Finance)</dc:creator>
  <cp:keywords/>
  <dc:description/>
  <cp:lastModifiedBy>Lance Mcconkey (Finance)</cp:lastModifiedBy>
  <cp:revision>3</cp:revision>
  <dcterms:created xsi:type="dcterms:W3CDTF">2023-02-16T14:55:00Z</dcterms:created>
  <dcterms:modified xsi:type="dcterms:W3CDTF">2023-03-15T21:37:00Z</dcterms:modified>
</cp:coreProperties>
</file>