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75BE5" w14:textId="77777777" w:rsidR="007D4817" w:rsidRDefault="007D4817" w:rsidP="00421253">
      <w:pPr>
        <w:spacing w:after="0" w:line="240" w:lineRule="auto"/>
        <w:jc w:val="center"/>
        <w:rPr>
          <w:rFonts w:ascii="Verdana" w:hAnsi="Verdana"/>
          <w:b/>
          <w:szCs w:val="20"/>
        </w:rPr>
      </w:pPr>
      <w:r w:rsidRPr="00421253">
        <w:rPr>
          <w:rFonts w:ascii="Verdana" w:hAnsi="Verdana"/>
          <w:b/>
          <w:szCs w:val="20"/>
        </w:rPr>
        <w:t>Chronology of the Agenda Item</w:t>
      </w:r>
    </w:p>
    <w:p w14:paraId="3427011F" w14:textId="4FC0CA7F" w:rsidR="00421253" w:rsidRDefault="00421253" w:rsidP="00421253">
      <w:pPr>
        <w:spacing w:after="0" w:line="240" w:lineRule="auto"/>
        <w:jc w:val="center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Resolution to Modify Capital Outlay Applications-</w:t>
      </w:r>
    </w:p>
    <w:p w14:paraId="5DA19D7A" w14:textId="44F6F124" w:rsidR="00421253" w:rsidRDefault="00421253" w:rsidP="00421253">
      <w:pPr>
        <w:spacing w:after="0" w:line="240" w:lineRule="auto"/>
        <w:jc w:val="center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FY2022 and FY2023</w:t>
      </w:r>
    </w:p>
    <w:p w14:paraId="252AE08A" w14:textId="77777777" w:rsidR="00421253" w:rsidRDefault="00421253" w:rsidP="00421253">
      <w:pPr>
        <w:spacing w:after="0" w:line="240" w:lineRule="auto"/>
        <w:jc w:val="center"/>
        <w:rPr>
          <w:rFonts w:ascii="Verdana" w:hAnsi="Verdana"/>
          <w:b/>
          <w:szCs w:val="20"/>
        </w:rPr>
      </w:pPr>
    </w:p>
    <w:p w14:paraId="173F8D94" w14:textId="77777777" w:rsidR="006A517D" w:rsidRDefault="00421253" w:rsidP="00421253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  <w:r w:rsidRPr="00991A4E">
        <w:rPr>
          <w:rFonts w:ascii="Verdana" w:eastAsia="Verdana" w:hAnsi="Verdana" w:cs="Verdana"/>
          <w:b/>
          <w:bCs/>
          <w:sz w:val="24"/>
          <w:szCs w:val="24"/>
          <w:u w:val="single"/>
        </w:rPr>
        <w:t>Purpose</w:t>
      </w:r>
      <w:r>
        <w:rPr>
          <w:rFonts w:ascii="Verdana" w:eastAsia="Verdana" w:hAnsi="Verdana" w:cs="Verdana"/>
          <w:sz w:val="24"/>
          <w:szCs w:val="24"/>
        </w:rPr>
        <w:t xml:space="preserve">: </w:t>
      </w:r>
    </w:p>
    <w:p w14:paraId="720CCE24" w14:textId="7C2727E0" w:rsidR="00421253" w:rsidRDefault="00421253" w:rsidP="00421253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  <w:r w:rsidRPr="006A517D">
        <w:rPr>
          <w:rFonts w:ascii="Verdana" w:eastAsia="Verdana" w:hAnsi="Verdana" w:cs="Verdana"/>
        </w:rPr>
        <w:t>Resolution and Modification</w:t>
      </w:r>
      <w:r w:rsidRPr="006A517D">
        <w:rPr>
          <w:rFonts w:ascii="Verdana" w:eastAsia="Verdana" w:hAnsi="Verdana" w:cs="Verdana"/>
        </w:rPr>
        <w:t xml:space="preserve"> of State Capital Outlay </w:t>
      </w:r>
      <w:r w:rsidRPr="006A517D">
        <w:rPr>
          <w:rFonts w:ascii="Verdana" w:eastAsia="Verdana" w:hAnsi="Verdana" w:cs="Verdana"/>
        </w:rPr>
        <w:t>Application for the FY2022 and FY2023</w:t>
      </w:r>
      <w:r>
        <w:rPr>
          <w:rFonts w:ascii="Verdana" w:eastAsia="Verdana" w:hAnsi="Verdana" w:cs="Verdana"/>
          <w:sz w:val="24"/>
          <w:szCs w:val="24"/>
        </w:rPr>
        <w:t>.</w:t>
      </w:r>
    </w:p>
    <w:p w14:paraId="069FEE38" w14:textId="77777777" w:rsidR="00421253" w:rsidRDefault="00421253" w:rsidP="00421253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</w:p>
    <w:p w14:paraId="6BBE2080" w14:textId="2D9C3A5C" w:rsidR="00421253" w:rsidRPr="00421253" w:rsidRDefault="00421253" w:rsidP="00421253">
      <w:pPr>
        <w:spacing w:after="0" w:line="240" w:lineRule="auto"/>
        <w:rPr>
          <w:rFonts w:ascii="Verdana" w:eastAsia="Verdana" w:hAnsi="Verdana" w:cs="Verdana"/>
          <w:b/>
          <w:bCs/>
          <w:sz w:val="24"/>
          <w:szCs w:val="24"/>
          <w:u w:val="single"/>
        </w:rPr>
      </w:pPr>
      <w:r w:rsidRPr="00421253">
        <w:rPr>
          <w:rFonts w:ascii="Verdana" w:eastAsia="Verdana" w:hAnsi="Verdana" w:cs="Verdana"/>
          <w:b/>
          <w:bCs/>
          <w:sz w:val="24"/>
          <w:szCs w:val="24"/>
          <w:u w:val="single"/>
        </w:rPr>
        <w:t>Background</w:t>
      </w:r>
    </w:p>
    <w:p w14:paraId="63CD1F0E" w14:textId="6E5E0517" w:rsidR="007D4817" w:rsidRPr="007D4817" w:rsidRDefault="00421253" w:rsidP="007D4817">
      <w:pPr>
        <w:rPr>
          <w:rFonts w:ascii="Verdana" w:hAnsi="Verdana"/>
          <w:bCs/>
          <w:szCs w:val="20"/>
        </w:rPr>
      </w:pPr>
      <w:r>
        <w:rPr>
          <w:rFonts w:ascii="Verdana" w:hAnsi="Verdana"/>
          <w:bCs/>
          <w:szCs w:val="20"/>
        </w:rPr>
        <w:t>Georgia Department of Education (</w:t>
      </w:r>
      <w:r w:rsidR="007D4817">
        <w:rPr>
          <w:rFonts w:ascii="Verdana" w:hAnsi="Verdana"/>
          <w:bCs/>
          <w:szCs w:val="20"/>
        </w:rPr>
        <w:t>GaDOE</w:t>
      </w:r>
      <w:r>
        <w:rPr>
          <w:rFonts w:ascii="Verdana" w:hAnsi="Verdana"/>
          <w:bCs/>
          <w:szCs w:val="20"/>
        </w:rPr>
        <w:t>)</w:t>
      </w:r>
      <w:r w:rsidR="007D4817">
        <w:rPr>
          <w:rFonts w:ascii="Verdana" w:hAnsi="Verdana"/>
          <w:bCs/>
          <w:szCs w:val="20"/>
        </w:rPr>
        <w:t xml:space="preserve"> regulations require that any project for which reimbursement is applied must be </w:t>
      </w:r>
      <w:r w:rsidR="007D4817" w:rsidRPr="007D4817">
        <w:rPr>
          <w:rFonts w:ascii="Verdana" w:hAnsi="Verdana"/>
          <w:bCs/>
          <w:szCs w:val="20"/>
        </w:rPr>
        <w:t>completed and closed out with the GaDOE within five (5) years of the</w:t>
      </w:r>
      <w:r w:rsidR="007D4817">
        <w:rPr>
          <w:rFonts w:ascii="Verdana" w:hAnsi="Verdana"/>
          <w:bCs/>
          <w:szCs w:val="20"/>
        </w:rPr>
        <w:t xml:space="preserve"> fiscal year for which they were applied. Any funds not reimbursed within the five-year window will be returned to district’s Earned Entitlement.</w:t>
      </w:r>
    </w:p>
    <w:p w14:paraId="3B09960F" w14:textId="54A1DCF6" w:rsidR="00A55F50" w:rsidRDefault="00FE198C" w:rsidP="4C07B557">
      <w:pPr>
        <w:rPr>
          <w:rFonts w:ascii="Verdana" w:hAnsi="Verdana"/>
        </w:rPr>
      </w:pPr>
      <w:r w:rsidRPr="4C07B557">
        <w:rPr>
          <w:rFonts w:ascii="Verdana" w:hAnsi="Verdana"/>
        </w:rPr>
        <w:t xml:space="preserve">On </w:t>
      </w:r>
      <w:r w:rsidR="4BAF184F" w:rsidRPr="4C07B557">
        <w:rPr>
          <w:rFonts w:ascii="Verdana" w:hAnsi="Verdana"/>
        </w:rPr>
        <w:t xml:space="preserve">November 9, </w:t>
      </w:r>
      <w:r w:rsidR="006A517D" w:rsidRPr="4C07B557">
        <w:rPr>
          <w:rFonts w:ascii="Verdana" w:hAnsi="Verdana"/>
        </w:rPr>
        <w:t>2020, and</w:t>
      </w:r>
      <w:r w:rsidRPr="4C07B557">
        <w:rPr>
          <w:rFonts w:ascii="Verdana" w:hAnsi="Verdana"/>
        </w:rPr>
        <w:t xml:space="preserve"> October </w:t>
      </w:r>
      <w:r w:rsidR="38801DBD" w:rsidRPr="4C07B557">
        <w:rPr>
          <w:rFonts w:ascii="Verdana" w:hAnsi="Verdana"/>
        </w:rPr>
        <w:t>18</w:t>
      </w:r>
      <w:r w:rsidRPr="4C07B557">
        <w:rPr>
          <w:rFonts w:ascii="Verdana" w:hAnsi="Verdana"/>
        </w:rPr>
        <w:t>, 20</w:t>
      </w:r>
      <w:r w:rsidR="7975473D" w:rsidRPr="4C07B557">
        <w:rPr>
          <w:rFonts w:ascii="Verdana" w:hAnsi="Verdana"/>
        </w:rPr>
        <w:t>21</w:t>
      </w:r>
      <w:r w:rsidR="006A517D">
        <w:rPr>
          <w:rFonts w:ascii="Verdana" w:hAnsi="Verdana"/>
        </w:rPr>
        <w:t>,</w:t>
      </w:r>
      <w:r w:rsidRPr="4C07B557">
        <w:rPr>
          <w:rFonts w:ascii="Verdana" w:hAnsi="Verdana"/>
        </w:rPr>
        <w:t xml:space="preserve"> t</w:t>
      </w:r>
      <w:r w:rsidR="00A55F50" w:rsidRPr="4C07B557">
        <w:rPr>
          <w:rFonts w:ascii="Verdana" w:hAnsi="Verdana"/>
        </w:rPr>
        <w:t>he DeKalb County Board of Education approved the Capital Outlay Applications for</w:t>
      </w:r>
      <w:r w:rsidR="00421253">
        <w:rPr>
          <w:rFonts w:ascii="Verdana" w:hAnsi="Verdana"/>
        </w:rPr>
        <w:t xml:space="preserve"> Fi</w:t>
      </w:r>
      <w:r w:rsidR="00A55F50" w:rsidRPr="4C07B557">
        <w:rPr>
          <w:rFonts w:ascii="Verdana" w:hAnsi="Verdana"/>
        </w:rPr>
        <w:t xml:space="preserve">scal </w:t>
      </w:r>
      <w:r w:rsidR="00421253">
        <w:rPr>
          <w:rFonts w:ascii="Verdana" w:hAnsi="Verdana"/>
        </w:rPr>
        <w:t>Y</w:t>
      </w:r>
      <w:r w:rsidR="00A55F50" w:rsidRPr="4C07B557">
        <w:rPr>
          <w:rFonts w:ascii="Verdana" w:hAnsi="Verdana"/>
        </w:rPr>
        <w:t>ear 202</w:t>
      </w:r>
      <w:r w:rsidR="008F71B8" w:rsidRPr="4C07B557">
        <w:rPr>
          <w:rFonts w:ascii="Verdana" w:hAnsi="Verdana"/>
        </w:rPr>
        <w:t>2</w:t>
      </w:r>
      <w:r w:rsidR="00A55F50" w:rsidRPr="4C07B557">
        <w:rPr>
          <w:rFonts w:ascii="Verdana" w:hAnsi="Verdana"/>
        </w:rPr>
        <w:t xml:space="preserve"> and </w:t>
      </w:r>
      <w:r w:rsidR="00421253">
        <w:rPr>
          <w:rFonts w:ascii="Verdana" w:hAnsi="Verdana"/>
        </w:rPr>
        <w:t>F</w:t>
      </w:r>
      <w:r w:rsidR="00A55F50" w:rsidRPr="4C07B557">
        <w:rPr>
          <w:rFonts w:ascii="Verdana" w:hAnsi="Verdana"/>
        </w:rPr>
        <w:t xml:space="preserve">iscal </w:t>
      </w:r>
      <w:r w:rsidR="00421253">
        <w:rPr>
          <w:rFonts w:ascii="Verdana" w:hAnsi="Verdana"/>
        </w:rPr>
        <w:t>Y</w:t>
      </w:r>
      <w:r w:rsidR="00A55F50" w:rsidRPr="4C07B557">
        <w:rPr>
          <w:rFonts w:ascii="Verdana" w:hAnsi="Verdana"/>
        </w:rPr>
        <w:t>ear 202</w:t>
      </w:r>
      <w:r w:rsidR="3CC3782F" w:rsidRPr="4C07B557">
        <w:rPr>
          <w:rFonts w:ascii="Verdana" w:hAnsi="Verdana"/>
        </w:rPr>
        <w:t>3</w:t>
      </w:r>
      <w:r w:rsidR="00421253">
        <w:rPr>
          <w:rFonts w:ascii="Verdana" w:hAnsi="Verdana"/>
        </w:rPr>
        <w:t>,</w:t>
      </w:r>
      <w:r w:rsidR="00CD0F58" w:rsidRPr="4C07B557">
        <w:rPr>
          <w:rFonts w:ascii="Verdana" w:hAnsi="Verdana"/>
        </w:rPr>
        <w:t xml:space="preserve"> </w:t>
      </w:r>
      <w:r w:rsidR="00A55F50" w:rsidRPr="4C07B557">
        <w:rPr>
          <w:rFonts w:ascii="Verdana" w:hAnsi="Verdana"/>
        </w:rPr>
        <w:t>respectively.  Since these applications for reimbursement were approved, several projects included in these applications have been delayed and are potentially in danger of extending beyond the five-year eligibility timeline for reimbursement.</w:t>
      </w:r>
      <w:r w:rsidR="00421253">
        <w:rPr>
          <w:rFonts w:ascii="Verdana" w:hAnsi="Verdana"/>
        </w:rPr>
        <w:t xml:space="preserve"> The delayed projects have not yet begun construction.</w:t>
      </w:r>
    </w:p>
    <w:p w14:paraId="16C21C85" w14:textId="531003DF" w:rsidR="007D4817" w:rsidRDefault="00421253" w:rsidP="007D4817">
      <w:pPr>
        <w:rPr>
          <w:rFonts w:ascii="Verdana" w:hAnsi="Verdana"/>
          <w:bCs/>
          <w:szCs w:val="20"/>
        </w:rPr>
      </w:pPr>
      <w:r>
        <w:rPr>
          <w:rFonts w:ascii="Verdana" w:hAnsi="Verdana"/>
          <w:bCs/>
          <w:szCs w:val="20"/>
        </w:rPr>
        <w:t>To</w:t>
      </w:r>
      <w:r w:rsidR="007D4817">
        <w:rPr>
          <w:rFonts w:ascii="Verdana" w:hAnsi="Verdana"/>
          <w:bCs/>
          <w:szCs w:val="20"/>
        </w:rPr>
        <w:t xml:space="preserve"> ensure that these projects retain their eligibility for the full amount of reimbursement by ensuring completion and close-out within the five-year window, the delayed pro</w:t>
      </w:r>
      <w:r w:rsidR="00574B40">
        <w:rPr>
          <w:rFonts w:ascii="Verdana" w:hAnsi="Verdana"/>
          <w:bCs/>
          <w:szCs w:val="20"/>
        </w:rPr>
        <w:t xml:space="preserve">jects </w:t>
      </w:r>
      <w:r w:rsidR="00F674AE">
        <w:rPr>
          <w:rFonts w:ascii="Verdana" w:hAnsi="Verdana"/>
          <w:bCs/>
          <w:szCs w:val="20"/>
        </w:rPr>
        <w:t>which have not yet begun construction</w:t>
      </w:r>
      <w:r>
        <w:rPr>
          <w:rFonts w:ascii="Verdana" w:hAnsi="Verdana"/>
          <w:bCs/>
          <w:szCs w:val="20"/>
        </w:rPr>
        <w:t>,</w:t>
      </w:r>
      <w:r w:rsidR="00574B40">
        <w:rPr>
          <w:rFonts w:ascii="Verdana" w:hAnsi="Verdana"/>
          <w:bCs/>
          <w:szCs w:val="20"/>
        </w:rPr>
        <w:t xml:space="preserve"> will be removed from the</w:t>
      </w:r>
      <w:r w:rsidR="00003041">
        <w:rPr>
          <w:rFonts w:ascii="Verdana" w:hAnsi="Verdana"/>
          <w:bCs/>
          <w:szCs w:val="20"/>
        </w:rPr>
        <w:t>ir</w:t>
      </w:r>
      <w:r w:rsidR="007D4817">
        <w:rPr>
          <w:rFonts w:ascii="Verdana" w:hAnsi="Verdana"/>
          <w:bCs/>
          <w:szCs w:val="20"/>
        </w:rPr>
        <w:t xml:space="preserve"> current application</w:t>
      </w:r>
      <w:r w:rsidR="00003041">
        <w:rPr>
          <w:rFonts w:ascii="Verdana" w:hAnsi="Verdana"/>
          <w:bCs/>
          <w:szCs w:val="20"/>
        </w:rPr>
        <w:t>s</w:t>
      </w:r>
      <w:r w:rsidR="007D4817">
        <w:rPr>
          <w:rFonts w:ascii="Verdana" w:hAnsi="Verdana"/>
          <w:bCs/>
          <w:szCs w:val="20"/>
        </w:rPr>
        <w:t>, and will be included in future applications.</w:t>
      </w:r>
    </w:p>
    <w:p w14:paraId="24E8CA79" w14:textId="1F5FFD9B" w:rsidR="006A517D" w:rsidRDefault="006A517D" w:rsidP="007D4817">
      <w:pPr>
        <w:rPr>
          <w:rFonts w:ascii="Verdana" w:hAnsi="Verdana"/>
          <w:bCs/>
          <w:szCs w:val="20"/>
        </w:rPr>
      </w:pPr>
      <w:r>
        <w:rPr>
          <w:rFonts w:ascii="Verdana" w:hAnsi="Verdana"/>
          <w:bCs/>
          <w:szCs w:val="20"/>
        </w:rPr>
        <w:t>The Projects/Schools are listed below:</w:t>
      </w:r>
    </w:p>
    <w:p w14:paraId="45A8330C" w14:textId="77777777" w:rsidR="006A517D" w:rsidRPr="006A517D" w:rsidRDefault="006A517D" w:rsidP="006A517D">
      <w:pPr>
        <w:spacing w:after="0"/>
        <w:rPr>
          <w:rFonts w:ascii="Verdana" w:hAnsi="Verdana"/>
        </w:rPr>
      </w:pPr>
      <w:r w:rsidRPr="006A517D">
        <w:rPr>
          <w:rFonts w:ascii="Verdana" w:hAnsi="Verdana"/>
          <w:b/>
          <w:bCs/>
        </w:rPr>
        <w:t>Project #</w:t>
      </w:r>
      <w:r w:rsidRPr="006A517D">
        <w:rPr>
          <w:rFonts w:ascii="Verdana" w:hAnsi="Verdana"/>
        </w:rPr>
        <w:tab/>
      </w:r>
      <w:r w:rsidRPr="006A517D">
        <w:rPr>
          <w:rFonts w:ascii="Verdana" w:hAnsi="Verdana"/>
        </w:rPr>
        <w:tab/>
      </w:r>
      <w:r w:rsidRPr="006A517D">
        <w:rPr>
          <w:rFonts w:ascii="Verdana" w:hAnsi="Verdana"/>
          <w:b/>
          <w:bCs/>
        </w:rPr>
        <w:t>Project Name</w:t>
      </w:r>
      <w:r w:rsidRPr="006A517D">
        <w:rPr>
          <w:rFonts w:ascii="Verdana" w:hAnsi="Verdana"/>
          <w:b/>
          <w:bCs/>
        </w:rPr>
        <w:tab/>
      </w:r>
      <w:r w:rsidRPr="006A517D">
        <w:rPr>
          <w:rFonts w:ascii="Verdana" w:hAnsi="Verdana"/>
          <w:b/>
          <w:bCs/>
        </w:rPr>
        <w:tab/>
        <w:t>Project #</w:t>
      </w:r>
      <w:r w:rsidRPr="006A517D">
        <w:rPr>
          <w:rFonts w:ascii="Verdana" w:hAnsi="Verdana"/>
        </w:rPr>
        <w:tab/>
        <w:t xml:space="preserve">    </w:t>
      </w:r>
      <w:r w:rsidRPr="006A517D">
        <w:rPr>
          <w:rFonts w:ascii="Verdana" w:hAnsi="Verdana"/>
          <w:b/>
          <w:bCs/>
        </w:rPr>
        <w:t>Project Name</w:t>
      </w:r>
    </w:p>
    <w:p w14:paraId="60BB26D4" w14:textId="77777777" w:rsidR="006A517D" w:rsidRPr="006A517D" w:rsidRDefault="006A517D" w:rsidP="006A517D">
      <w:pPr>
        <w:spacing w:after="0"/>
        <w:rPr>
          <w:rFonts w:ascii="Verdana" w:hAnsi="Verdana"/>
        </w:rPr>
      </w:pPr>
      <w:r w:rsidRPr="006A517D">
        <w:rPr>
          <w:rFonts w:ascii="Verdana" w:hAnsi="Verdana"/>
        </w:rPr>
        <w:t>22-644-001</w:t>
      </w:r>
      <w:r w:rsidRPr="006A517D">
        <w:rPr>
          <w:rFonts w:ascii="Verdana" w:hAnsi="Verdana"/>
        </w:rPr>
        <w:tab/>
      </w:r>
      <w:r w:rsidRPr="006A517D">
        <w:rPr>
          <w:rFonts w:ascii="Verdana" w:hAnsi="Verdana"/>
        </w:rPr>
        <w:tab/>
        <w:t>Sequoyah MS</w:t>
      </w:r>
      <w:r w:rsidRPr="006A517D">
        <w:rPr>
          <w:rFonts w:ascii="Verdana" w:hAnsi="Verdana"/>
        </w:rPr>
        <w:tab/>
      </w:r>
      <w:r w:rsidRPr="006A517D">
        <w:rPr>
          <w:rFonts w:ascii="Verdana" w:hAnsi="Verdana"/>
        </w:rPr>
        <w:tab/>
        <w:t>22-644-018</w:t>
      </w:r>
      <w:r w:rsidRPr="006A517D">
        <w:rPr>
          <w:rFonts w:ascii="Verdana" w:hAnsi="Verdana"/>
        </w:rPr>
        <w:tab/>
        <w:t xml:space="preserve">    Evansdale ES</w:t>
      </w:r>
    </w:p>
    <w:p w14:paraId="06CD7A32" w14:textId="77777777" w:rsidR="006A517D" w:rsidRPr="006A517D" w:rsidRDefault="006A517D" w:rsidP="006A517D">
      <w:pPr>
        <w:spacing w:after="0"/>
        <w:rPr>
          <w:rFonts w:ascii="Verdana" w:hAnsi="Verdana"/>
        </w:rPr>
      </w:pPr>
      <w:r w:rsidRPr="006A517D">
        <w:rPr>
          <w:rFonts w:ascii="Verdana" w:hAnsi="Verdana"/>
        </w:rPr>
        <w:t>22-644-002</w:t>
      </w:r>
      <w:r w:rsidRPr="006A517D">
        <w:rPr>
          <w:rFonts w:ascii="Verdana" w:hAnsi="Verdana"/>
        </w:rPr>
        <w:tab/>
      </w:r>
      <w:r w:rsidRPr="006A517D">
        <w:rPr>
          <w:rFonts w:ascii="Verdana" w:hAnsi="Verdana"/>
        </w:rPr>
        <w:tab/>
        <w:t>Montgomery ES</w:t>
      </w:r>
      <w:r w:rsidRPr="006A517D">
        <w:rPr>
          <w:rFonts w:ascii="Verdana" w:hAnsi="Verdana"/>
        </w:rPr>
        <w:tab/>
      </w:r>
      <w:r w:rsidRPr="006A517D">
        <w:rPr>
          <w:rFonts w:ascii="Verdana" w:hAnsi="Verdana"/>
        </w:rPr>
        <w:tab/>
        <w:t>22-644-019</w:t>
      </w:r>
      <w:r w:rsidRPr="006A517D">
        <w:rPr>
          <w:rFonts w:ascii="Verdana" w:hAnsi="Verdana"/>
        </w:rPr>
        <w:tab/>
        <w:t xml:space="preserve">    Stone Mountain ES</w:t>
      </w:r>
    </w:p>
    <w:p w14:paraId="13D58837" w14:textId="0AFE2028" w:rsidR="006A517D" w:rsidRPr="006A517D" w:rsidRDefault="006A517D" w:rsidP="006A517D">
      <w:pPr>
        <w:spacing w:after="0"/>
        <w:rPr>
          <w:rFonts w:ascii="Verdana" w:hAnsi="Verdana"/>
        </w:rPr>
      </w:pPr>
      <w:r w:rsidRPr="006A517D">
        <w:rPr>
          <w:rFonts w:ascii="Verdana" w:hAnsi="Verdana"/>
        </w:rPr>
        <w:t>22-644-004</w:t>
      </w:r>
      <w:r w:rsidRPr="006A517D">
        <w:rPr>
          <w:rFonts w:ascii="Verdana" w:hAnsi="Verdana"/>
        </w:rPr>
        <w:tab/>
      </w:r>
      <w:r w:rsidRPr="006A517D">
        <w:rPr>
          <w:rFonts w:ascii="Verdana" w:hAnsi="Verdana"/>
        </w:rPr>
        <w:tab/>
        <w:t xml:space="preserve">Kingsley ES </w:t>
      </w:r>
      <w:r w:rsidRPr="006A517D">
        <w:rPr>
          <w:rFonts w:ascii="Verdana" w:hAnsi="Verdana"/>
        </w:rPr>
        <w:tab/>
      </w:r>
      <w:r w:rsidRPr="006A517D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6A517D">
        <w:rPr>
          <w:rFonts w:ascii="Verdana" w:hAnsi="Verdana"/>
        </w:rPr>
        <w:t>22-644-021</w:t>
      </w:r>
      <w:r w:rsidRPr="006A517D">
        <w:rPr>
          <w:rFonts w:ascii="Verdana" w:hAnsi="Verdana"/>
        </w:rPr>
        <w:tab/>
        <w:t xml:space="preserve">    </w:t>
      </w:r>
      <w:proofErr w:type="spellStart"/>
      <w:r w:rsidRPr="006A517D">
        <w:rPr>
          <w:rFonts w:ascii="Verdana" w:hAnsi="Verdana"/>
        </w:rPr>
        <w:t>Dunaire</w:t>
      </w:r>
      <w:proofErr w:type="spellEnd"/>
      <w:r w:rsidRPr="006A517D">
        <w:rPr>
          <w:rFonts w:ascii="Verdana" w:hAnsi="Verdana"/>
        </w:rPr>
        <w:t xml:space="preserve"> ES</w:t>
      </w:r>
    </w:p>
    <w:p w14:paraId="01D7545D" w14:textId="52244618" w:rsidR="006A517D" w:rsidRPr="006A517D" w:rsidRDefault="006A517D" w:rsidP="006A517D">
      <w:pPr>
        <w:spacing w:after="0"/>
        <w:rPr>
          <w:rFonts w:ascii="Verdana" w:hAnsi="Verdana"/>
        </w:rPr>
      </w:pPr>
      <w:r w:rsidRPr="006A517D">
        <w:rPr>
          <w:rFonts w:ascii="Verdana" w:hAnsi="Verdana"/>
        </w:rPr>
        <w:t>22-644-007</w:t>
      </w:r>
      <w:r w:rsidRPr="006A517D">
        <w:rPr>
          <w:rFonts w:ascii="Verdana" w:hAnsi="Verdana"/>
        </w:rPr>
        <w:tab/>
      </w:r>
      <w:r w:rsidRPr="006A517D">
        <w:rPr>
          <w:rFonts w:ascii="Verdana" w:hAnsi="Verdana"/>
        </w:rPr>
        <w:tab/>
        <w:t>Columbia HS</w:t>
      </w:r>
      <w:r w:rsidRPr="006A517D">
        <w:rPr>
          <w:rFonts w:ascii="Verdana" w:hAnsi="Verdana"/>
        </w:rPr>
        <w:tab/>
      </w:r>
      <w:r w:rsidRPr="006A517D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6A517D">
        <w:rPr>
          <w:rFonts w:ascii="Verdana" w:hAnsi="Verdana"/>
        </w:rPr>
        <w:t>22-644-022</w:t>
      </w:r>
      <w:r w:rsidRPr="006A517D">
        <w:rPr>
          <w:rFonts w:ascii="Verdana" w:hAnsi="Verdana"/>
        </w:rPr>
        <w:tab/>
        <w:t xml:space="preserve">    Huntley Hills ES</w:t>
      </w:r>
    </w:p>
    <w:p w14:paraId="3CCC37F8" w14:textId="77777777" w:rsidR="006A517D" w:rsidRPr="006A517D" w:rsidRDefault="006A517D" w:rsidP="006A517D">
      <w:pPr>
        <w:spacing w:after="0"/>
        <w:ind w:right="-90"/>
        <w:rPr>
          <w:rFonts w:ascii="Verdana" w:hAnsi="Verdana"/>
        </w:rPr>
      </w:pPr>
      <w:r w:rsidRPr="006A517D">
        <w:rPr>
          <w:rFonts w:ascii="Verdana" w:hAnsi="Verdana"/>
        </w:rPr>
        <w:t>22-644-008</w:t>
      </w:r>
      <w:r w:rsidRPr="006A517D">
        <w:rPr>
          <w:rFonts w:ascii="Verdana" w:hAnsi="Verdana"/>
        </w:rPr>
        <w:tab/>
      </w:r>
      <w:r w:rsidRPr="006A517D">
        <w:rPr>
          <w:rFonts w:ascii="Verdana" w:hAnsi="Verdana"/>
        </w:rPr>
        <w:tab/>
        <w:t>Woodward ES</w:t>
      </w:r>
      <w:r w:rsidRPr="006A517D">
        <w:rPr>
          <w:rFonts w:ascii="Verdana" w:hAnsi="Verdana"/>
        </w:rPr>
        <w:tab/>
      </w:r>
      <w:r w:rsidRPr="006A517D">
        <w:rPr>
          <w:rFonts w:ascii="Verdana" w:hAnsi="Verdana"/>
        </w:rPr>
        <w:tab/>
        <w:t>22-644-023</w:t>
      </w:r>
      <w:r w:rsidRPr="006A517D">
        <w:rPr>
          <w:rFonts w:ascii="Verdana" w:hAnsi="Verdana"/>
        </w:rPr>
        <w:tab/>
        <w:t xml:space="preserve">    Cary Reynolds ES</w:t>
      </w:r>
    </w:p>
    <w:p w14:paraId="018C0A2E" w14:textId="77777777" w:rsidR="006A517D" w:rsidRPr="006A517D" w:rsidRDefault="006A517D" w:rsidP="006A517D">
      <w:pPr>
        <w:spacing w:after="0"/>
        <w:rPr>
          <w:rFonts w:ascii="Verdana" w:hAnsi="Verdana"/>
        </w:rPr>
      </w:pPr>
      <w:r w:rsidRPr="006A517D">
        <w:rPr>
          <w:rFonts w:ascii="Verdana" w:hAnsi="Verdana"/>
        </w:rPr>
        <w:t>22-644-011</w:t>
      </w:r>
      <w:r w:rsidRPr="006A517D">
        <w:rPr>
          <w:rFonts w:ascii="Verdana" w:hAnsi="Verdana"/>
        </w:rPr>
        <w:tab/>
      </w:r>
      <w:r w:rsidRPr="006A517D">
        <w:rPr>
          <w:rFonts w:ascii="Verdana" w:hAnsi="Verdana"/>
        </w:rPr>
        <w:tab/>
        <w:t>Dresden ES</w:t>
      </w:r>
      <w:r w:rsidRPr="006A517D">
        <w:rPr>
          <w:rFonts w:ascii="Verdana" w:hAnsi="Verdana"/>
        </w:rPr>
        <w:tab/>
      </w:r>
      <w:r w:rsidRPr="006A517D">
        <w:rPr>
          <w:rFonts w:ascii="Verdana" w:hAnsi="Verdana"/>
        </w:rPr>
        <w:tab/>
      </w:r>
      <w:r w:rsidRPr="006A517D">
        <w:rPr>
          <w:rFonts w:ascii="Verdana" w:hAnsi="Verdana"/>
        </w:rPr>
        <w:tab/>
        <w:t>22-644-024</w:t>
      </w:r>
      <w:r w:rsidRPr="006A517D">
        <w:rPr>
          <w:rFonts w:ascii="Verdana" w:hAnsi="Verdana"/>
        </w:rPr>
        <w:tab/>
        <w:t xml:space="preserve">    Stone Mill ES</w:t>
      </w:r>
    </w:p>
    <w:p w14:paraId="746F2C19" w14:textId="77777777" w:rsidR="006A517D" w:rsidRPr="006A517D" w:rsidRDefault="006A517D" w:rsidP="006A517D">
      <w:pPr>
        <w:spacing w:after="0"/>
        <w:rPr>
          <w:rFonts w:ascii="Verdana" w:hAnsi="Verdana"/>
        </w:rPr>
      </w:pPr>
      <w:r w:rsidRPr="006A517D">
        <w:rPr>
          <w:rFonts w:ascii="Verdana" w:hAnsi="Verdana"/>
        </w:rPr>
        <w:t>22-644-015</w:t>
      </w:r>
      <w:r w:rsidRPr="006A517D">
        <w:rPr>
          <w:rFonts w:ascii="Verdana" w:hAnsi="Verdana"/>
        </w:rPr>
        <w:tab/>
      </w:r>
      <w:r w:rsidRPr="006A517D">
        <w:rPr>
          <w:rFonts w:ascii="Verdana" w:hAnsi="Verdana"/>
        </w:rPr>
        <w:tab/>
        <w:t>Vanderlyn ES</w:t>
      </w:r>
      <w:r w:rsidRPr="006A517D">
        <w:rPr>
          <w:rFonts w:ascii="Verdana" w:hAnsi="Verdana"/>
        </w:rPr>
        <w:tab/>
        <w:t xml:space="preserve">         23-644-002    Kittredge Magnet ES</w:t>
      </w:r>
    </w:p>
    <w:p w14:paraId="67FBAD6C" w14:textId="77777777" w:rsidR="006A517D" w:rsidRPr="006A517D" w:rsidRDefault="006A517D" w:rsidP="006A517D">
      <w:pPr>
        <w:spacing w:after="0"/>
        <w:rPr>
          <w:rFonts w:ascii="Verdana" w:hAnsi="Verdana"/>
        </w:rPr>
      </w:pPr>
      <w:r w:rsidRPr="006A517D">
        <w:rPr>
          <w:rFonts w:ascii="Verdana" w:hAnsi="Verdana"/>
        </w:rPr>
        <w:t>22-644-017</w:t>
      </w:r>
      <w:r w:rsidRPr="006A517D">
        <w:rPr>
          <w:rFonts w:ascii="Verdana" w:hAnsi="Verdana"/>
        </w:rPr>
        <w:tab/>
      </w:r>
      <w:r w:rsidRPr="006A517D">
        <w:rPr>
          <w:rFonts w:ascii="Verdana" w:hAnsi="Verdana"/>
        </w:rPr>
        <w:tab/>
        <w:t>Allgood ES</w:t>
      </w:r>
    </w:p>
    <w:p w14:paraId="12D14010" w14:textId="77777777" w:rsidR="006A517D" w:rsidRPr="007D4817" w:rsidRDefault="006A517D" w:rsidP="007D4817">
      <w:pPr>
        <w:rPr>
          <w:rFonts w:ascii="Verdana" w:hAnsi="Verdana"/>
          <w:bCs/>
          <w:szCs w:val="20"/>
        </w:rPr>
      </w:pPr>
    </w:p>
    <w:sectPr w:rsidR="006A517D" w:rsidRPr="007D4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817"/>
    <w:rsid w:val="00003041"/>
    <w:rsid w:val="00052B2D"/>
    <w:rsid w:val="001B242E"/>
    <w:rsid w:val="001D2642"/>
    <w:rsid w:val="0031734A"/>
    <w:rsid w:val="00421253"/>
    <w:rsid w:val="00456B24"/>
    <w:rsid w:val="00557722"/>
    <w:rsid w:val="00574B40"/>
    <w:rsid w:val="00610EA5"/>
    <w:rsid w:val="006A517D"/>
    <w:rsid w:val="007D4817"/>
    <w:rsid w:val="00814BCE"/>
    <w:rsid w:val="008F71B8"/>
    <w:rsid w:val="00A55F50"/>
    <w:rsid w:val="00B43984"/>
    <w:rsid w:val="00CD0F58"/>
    <w:rsid w:val="00D86CBA"/>
    <w:rsid w:val="00EF31E4"/>
    <w:rsid w:val="00F674AE"/>
    <w:rsid w:val="00F95EA7"/>
    <w:rsid w:val="00FE198C"/>
    <w:rsid w:val="32AF7B9B"/>
    <w:rsid w:val="38801DBD"/>
    <w:rsid w:val="3CC3782F"/>
    <w:rsid w:val="4BAF184F"/>
    <w:rsid w:val="4C07B557"/>
    <w:rsid w:val="7975473D"/>
    <w:rsid w:val="7C10D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B0A64"/>
  <w15:chartTrackingRefBased/>
  <w15:docId w15:val="{79B097D6-C18C-439B-85A0-956E8C0C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197a20-4a0f-4e23-b6cb-96eedab9fe9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location xmlns="1d197a20-4a0f-4e23-b6cb-96eedab9fe93" xsi:nil="true"/>
    <TaxCatchAll xmlns="8be5de25-5959-43be-afff-9a99316fa0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40AC02AA3EBE40912018C1F4CA83AF" ma:contentTypeVersion="30" ma:contentTypeDescription="Create a new document." ma:contentTypeScope="" ma:versionID="4d409847d92b20c1b9a74e4a297f8b9e">
  <xsd:schema xmlns:xsd="http://www.w3.org/2001/XMLSchema" xmlns:xs="http://www.w3.org/2001/XMLSchema" xmlns:p="http://schemas.microsoft.com/office/2006/metadata/properties" xmlns:ns1="http://schemas.microsoft.com/sharepoint/v3" xmlns:ns2="1d197a20-4a0f-4e23-b6cb-96eedab9fe93" xmlns:ns3="8be5de25-5959-43be-afff-9a99316fa095" targetNamespace="http://schemas.microsoft.com/office/2006/metadata/properties" ma:root="true" ma:fieldsID="a62690ccf81ef8d3b0bc5d3b171062b1" ns1:_="" ns2:_="" ns3:_="">
    <xsd:import namespace="http://schemas.microsoft.com/sharepoint/v3"/>
    <xsd:import namespace="1d197a20-4a0f-4e23-b6cb-96eedab9fe93"/>
    <xsd:import namespace="8be5de25-5959-43be-afff-9a99316fa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location" minOccurs="0"/>
                <xsd:element ref="ns2:f777e935-2bd8-451c-8244-567f5cd9cdb4CountryOrRegion" minOccurs="0"/>
                <xsd:element ref="ns2:f777e935-2bd8-451c-8244-567f5cd9cdb4State" minOccurs="0"/>
                <xsd:element ref="ns2:f777e935-2bd8-451c-8244-567f5cd9cdb4City" minOccurs="0"/>
                <xsd:element ref="ns2:f777e935-2bd8-451c-8244-567f5cd9cdb4PostalCode" minOccurs="0"/>
                <xsd:element ref="ns2:f777e935-2bd8-451c-8244-567f5cd9cdb4Street" minOccurs="0"/>
                <xsd:element ref="ns2:f777e935-2bd8-451c-8244-567f5cd9cdb4GeoLoc" minOccurs="0"/>
                <xsd:element ref="ns2:f777e935-2bd8-451c-8244-567f5cd9cdb4DispName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7a20-4a0f-4e23-b6cb-96eedab9f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ecd51b3-3e93-481d-9a44-8f3e0acd4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ocation" ma:index="24" nillable="true" ma:displayName="location " ma:format="Dropdown" ma:internalName="location">
      <xsd:simpleType>
        <xsd:restriction base="dms:Unknown"/>
      </xsd:simpleType>
    </xsd:element>
    <xsd:element name="f777e935-2bd8-451c-8244-567f5cd9cdb4CountryOrRegion" ma:index="25" nillable="true" ma:displayName="location : Country/Region" ma:internalName="CountryOrRegion" ma:readOnly="true">
      <xsd:simpleType>
        <xsd:restriction base="dms:Text"/>
      </xsd:simpleType>
    </xsd:element>
    <xsd:element name="f777e935-2bd8-451c-8244-567f5cd9cdb4State" ma:index="26" nillable="true" ma:displayName="location : State" ma:internalName="State" ma:readOnly="true">
      <xsd:simpleType>
        <xsd:restriction base="dms:Text"/>
      </xsd:simpleType>
    </xsd:element>
    <xsd:element name="f777e935-2bd8-451c-8244-567f5cd9cdb4City" ma:index="27" nillable="true" ma:displayName="location : City" ma:internalName="City" ma:readOnly="true">
      <xsd:simpleType>
        <xsd:restriction base="dms:Text"/>
      </xsd:simpleType>
    </xsd:element>
    <xsd:element name="f777e935-2bd8-451c-8244-567f5cd9cdb4PostalCode" ma:index="28" nillable="true" ma:displayName="location : Postal Code" ma:internalName="PostalCode" ma:readOnly="true">
      <xsd:simpleType>
        <xsd:restriction base="dms:Text"/>
      </xsd:simpleType>
    </xsd:element>
    <xsd:element name="f777e935-2bd8-451c-8244-567f5cd9cdb4Street" ma:index="29" nillable="true" ma:displayName="location : Street" ma:internalName="Street" ma:readOnly="true">
      <xsd:simpleType>
        <xsd:restriction base="dms:Text"/>
      </xsd:simpleType>
    </xsd:element>
    <xsd:element name="f777e935-2bd8-451c-8244-567f5cd9cdb4GeoLoc" ma:index="30" nillable="true" ma:displayName="location : Coordinates" ma:internalName="GeoLoc" ma:readOnly="true">
      <xsd:simpleType>
        <xsd:restriction base="dms:Unknown"/>
      </xsd:simpleType>
    </xsd:element>
    <xsd:element name="f777e935-2bd8-451c-8244-567f5cd9cdb4DispName" ma:index="31" nillable="true" ma:displayName="location : Name" ma:internalName="DispName" ma:readOnly="true">
      <xsd:simpleType>
        <xsd:restriction base="dms:Text"/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5de25-5959-43be-afff-9a99316fa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49d8be2-824d-4a7f-8771-53d5034c5742}" ma:internalName="TaxCatchAll" ma:showField="CatchAllData" ma:web="8be5de25-5959-43be-afff-9a99316fa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71510C-888E-49AD-9C48-B8CC82DDC5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A8E54F-58CD-4C8B-8CD3-6B6EFC544E8B}">
  <ds:schemaRefs>
    <ds:schemaRef ds:uri="http://schemas.microsoft.com/office/2006/metadata/properties"/>
    <ds:schemaRef ds:uri="http://schemas.microsoft.com/office/infopath/2007/PartnerControls"/>
    <ds:schemaRef ds:uri="1d197a20-4a0f-4e23-b6cb-96eedab9fe93"/>
    <ds:schemaRef ds:uri="http://schemas.microsoft.com/sharepoint/v3"/>
    <ds:schemaRef ds:uri="8be5de25-5959-43be-afff-9a99316fa095"/>
  </ds:schemaRefs>
</ds:datastoreItem>
</file>

<file path=customXml/itemProps3.xml><?xml version="1.0" encoding="utf-8"?>
<ds:datastoreItem xmlns:ds="http://schemas.openxmlformats.org/officeDocument/2006/customXml" ds:itemID="{26C36649-00BE-42D9-AC6E-5F77D6DA8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d197a20-4a0f-4e23-b6cb-96eedab9fe93"/>
    <ds:schemaRef ds:uri="8be5de25-5959-43be-afff-9a99316fa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DCSD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Williamson (DEPT OF FACILITIES &amp; OPERATION)</dc:creator>
  <cp:keywords/>
  <dc:description/>
  <cp:lastModifiedBy>Darlene Hughes (Dept-Plant Services)</cp:lastModifiedBy>
  <cp:revision>2</cp:revision>
  <cp:lastPrinted>2025-02-14T16:30:00Z</cp:lastPrinted>
  <dcterms:created xsi:type="dcterms:W3CDTF">2025-02-14T16:42:00Z</dcterms:created>
  <dcterms:modified xsi:type="dcterms:W3CDTF">2025-02-14T16:42:00Z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0x010100DC40AC02AA3EBE40912018C1F4CA83AF</vt:lpwstr>
  </property>
  <property fmtid="{D5CDD505-2E9C-101B-9397-08002B2CF9AE}" pid="3" name="Order">
    <vt:r8>22422600</vt:r8>
  </property>
  <property fmtid="{D5CDD505-2E9C-101B-9397-08002B2CF9AE}" pid="4" name="MediaServiceImageTags">
    <vt:lpwstr/>
  </property>
</Properties>
</file>