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2DA10" w14:textId="77777777" w:rsidR="005A33D2" w:rsidRPr="00847728" w:rsidRDefault="005A33D2" w:rsidP="00847728">
      <w:pPr>
        <w:jc w:val="center"/>
        <w:rPr>
          <w:rFonts w:ascii="Lato" w:hAnsi="Lato"/>
          <w:b/>
          <w:bCs/>
          <w:sz w:val="29"/>
          <w:szCs w:val="29"/>
        </w:rPr>
      </w:pPr>
      <w:r w:rsidRPr="00847728">
        <w:rPr>
          <w:rFonts w:ascii="Lato" w:hAnsi="Lato"/>
          <w:b/>
          <w:bCs/>
          <w:sz w:val="29"/>
          <w:szCs w:val="29"/>
        </w:rPr>
        <w:t>CHRONOLOGY OF THE AGENDA ITEM</w:t>
      </w:r>
    </w:p>
    <w:p w14:paraId="764760C6" w14:textId="77777777" w:rsidR="00F0018F" w:rsidRPr="00847728" w:rsidRDefault="00F0018F" w:rsidP="00847728">
      <w:pPr>
        <w:jc w:val="both"/>
        <w:rPr>
          <w:rFonts w:ascii="Lato" w:hAnsi="Lato"/>
          <w:b/>
          <w:bCs/>
          <w:sz w:val="29"/>
          <w:szCs w:val="29"/>
        </w:rPr>
      </w:pPr>
    </w:p>
    <w:p w14:paraId="265B9EDE" w14:textId="25F27553" w:rsidR="00814173" w:rsidRPr="00814173" w:rsidRDefault="00F0018F" w:rsidP="00814173">
      <w:pPr>
        <w:rPr>
          <w:rFonts w:ascii="Lato" w:hAnsi="Lato"/>
          <w:b/>
          <w:sz w:val="24"/>
          <w:szCs w:val="24"/>
        </w:rPr>
      </w:pPr>
      <w:r w:rsidRPr="00814173">
        <w:rPr>
          <w:rFonts w:ascii="Lato" w:hAnsi="Lato"/>
          <w:b/>
          <w:bCs/>
          <w:sz w:val="24"/>
          <w:szCs w:val="24"/>
          <w:u w:val="single"/>
        </w:rPr>
        <w:t>Board Agenda Item Title</w:t>
      </w:r>
      <w:r w:rsidRPr="00814173">
        <w:rPr>
          <w:rFonts w:ascii="Lato" w:hAnsi="Lato"/>
          <w:b/>
          <w:bCs/>
          <w:sz w:val="24"/>
          <w:szCs w:val="24"/>
        </w:rPr>
        <w:t xml:space="preserve">: </w:t>
      </w:r>
      <w:r w:rsidR="00814173" w:rsidRPr="00814173">
        <w:rPr>
          <w:rFonts w:ascii="Lato" w:hAnsi="Lato"/>
          <w:bCs/>
          <w:sz w:val="24"/>
          <w:szCs w:val="24"/>
        </w:rPr>
        <w:t xml:space="preserve">Donation Acceptance of </w:t>
      </w:r>
      <w:r w:rsidR="00814173" w:rsidRPr="00814173">
        <w:rPr>
          <w:rFonts w:ascii="Lato" w:hAnsi="Lato"/>
          <w:b/>
          <w:sz w:val="24"/>
          <w:szCs w:val="24"/>
        </w:rPr>
        <w:t>$23,658.97</w:t>
      </w:r>
      <w:r w:rsidR="00814173" w:rsidRPr="00814173">
        <w:rPr>
          <w:rFonts w:ascii="Lato" w:hAnsi="Lato"/>
          <w:bCs/>
          <w:sz w:val="24"/>
          <w:szCs w:val="24"/>
        </w:rPr>
        <w:t xml:space="preserve"> in Funding from the </w:t>
      </w:r>
      <w:r w:rsidR="00814173" w:rsidRPr="00814173">
        <w:rPr>
          <w:rFonts w:ascii="Lato" w:hAnsi="Lato"/>
          <w:b/>
          <w:sz w:val="24"/>
          <w:szCs w:val="24"/>
        </w:rPr>
        <w:t>Waltemeyer Estate in Care of Truist Wealth Management</w:t>
      </w:r>
    </w:p>
    <w:p w14:paraId="310129AE" w14:textId="23EA6ADD" w:rsidR="005A33D2" w:rsidRPr="00814173" w:rsidRDefault="005A33D2" w:rsidP="00847728">
      <w:pPr>
        <w:jc w:val="both"/>
        <w:rPr>
          <w:rFonts w:ascii="Lato" w:hAnsi="Lato"/>
          <w:b/>
          <w:bCs/>
          <w:sz w:val="24"/>
          <w:szCs w:val="24"/>
        </w:rPr>
      </w:pPr>
    </w:p>
    <w:p w14:paraId="14A8D8CC" w14:textId="77777777" w:rsidR="005A33D2" w:rsidRPr="00814173" w:rsidRDefault="005A33D2" w:rsidP="00847728">
      <w:pPr>
        <w:jc w:val="both"/>
        <w:rPr>
          <w:rFonts w:ascii="Lato" w:hAnsi="Lato"/>
          <w:sz w:val="24"/>
          <w:szCs w:val="24"/>
        </w:rPr>
      </w:pPr>
    </w:p>
    <w:p w14:paraId="2C91C2C2" w14:textId="33D20198" w:rsidR="005A33D2" w:rsidRPr="00814173" w:rsidRDefault="00F0018F" w:rsidP="00847728">
      <w:pPr>
        <w:jc w:val="both"/>
        <w:rPr>
          <w:rFonts w:ascii="Lato" w:hAnsi="Lato"/>
          <w:b/>
          <w:bCs/>
          <w:sz w:val="24"/>
          <w:szCs w:val="24"/>
          <w:u w:val="single"/>
        </w:rPr>
      </w:pPr>
      <w:r w:rsidRPr="00814173">
        <w:rPr>
          <w:rFonts w:ascii="Lato" w:hAnsi="Lato"/>
          <w:b/>
          <w:bCs/>
          <w:sz w:val="24"/>
          <w:szCs w:val="24"/>
          <w:u w:val="single"/>
        </w:rPr>
        <w:t>Background/Details</w:t>
      </w:r>
    </w:p>
    <w:p w14:paraId="573AA759" w14:textId="77777777" w:rsidR="009A37F3" w:rsidRPr="00814173" w:rsidRDefault="009A37F3" w:rsidP="00847728">
      <w:pPr>
        <w:jc w:val="both"/>
        <w:rPr>
          <w:rFonts w:ascii="Lato" w:hAnsi="Lato"/>
          <w:b/>
          <w:bCs/>
          <w:sz w:val="24"/>
          <w:szCs w:val="24"/>
          <w:u w:val="single"/>
        </w:rPr>
      </w:pPr>
    </w:p>
    <w:p w14:paraId="05E081B8" w14:textId="476DCCAF" w:rsidR="00AA12C7" w:rsidRPr="00814173" w:rsidRDefault="00AA12C7" w:rsidP="00AA12C7">
      <w:pPr>
        <w:rPr>
          <w:rFonts w:ascii="Lato" w:hAnsi="Lato"/>
          <w:bCs/>
          <w:sz w:val="24"/>
          <w:szCs w:val="24"/>
        </w:rPr>
      </w:pPr>
      <w:r w:rsidRPr="00814173">
        <w:rPr>
          <w:rFonts w:ascii="Lato" w:hAnsi="Lato"/>
          <w:bCs/>
          <w:sz w:val="24"/>
          <w:szCs w:val="24"/>
        </w:rPr>
        <w:t xml:space="preserve">On March 10, 2025, the Board of Education accepted a donation from </w:t>
      </w:r>
      <w:r w:rsidRPr="00814173">
        <w:rPr>
          <w:rFonts w:ascii="Lato" w:hAnsi="Lato"/>
          <w:b/>
          <w:sz w:val="24"/>
          <w:szCs w:val="24"/>
        </w:rPr>
        <w:t>Truist Wealth Management on behalf of Mr. Robert Waltemeyer’s estate</w:t>
      </w:r>
      <w:r w:rsidRPr="00814173">
        <w:rPr>
          <w:rFonts w:ascii="Lato" w:hAnsi="Lato"/>
          <w:bCs/>
          <w:sz w:val="24"/>
          <w:szCs w:val="24"/>
        </w:rPr>
        <w:t xml:space="preserve"> in the amount of </w:t>
      </w:r>
      <w:r w:rsidRPr="00814173">
        <w:rPr>
          <w:rFonts w:ascii="Lato" w:hAnsi="Lato"/>
          <w:b/>
          <w:sz w:val="24"/>
          <w:szCs w:val="24"/>
        </w:rPr>
        <w:t>$54,047.38</w:t>
      </w:r>
      <w:r w:rsidRPr="00814173">
        <w:rPr>
          <w:rFonts w:ascii="Lato" w:hAnsi="Lato"/>
          <w:bCs/>
          <w:sz w:val="24"/>
          <w:szCs w:val="24"/>
        </w:rPr>
        <w:t>.  The amount represented Fernbank Science Center’s share of accumulated income (interest and dividends) for 15</w:t>
      </w:r>
      <w:r w:rsidR="002269B1">
        <w:rPr>
          <w:rFonts w:ascii="Lato" w:hAnsi="Lato"/>
          <w:bCs/>
          <w:sz w:val="24"/>
          <w:szCs w:val="24"/>
        </w:rPr>
        <w:t>.</w:t>
      </w:r>
      <w:r w:rsidRPr="00814173">
        <w:rPr>
          <w:rFonts w:ascii="Lato" w:hAnsi="Lato"/>
          <w:bCs/>
          <w:sz w:val="24"/>
          <w:szCs w:val="24"/>
        </w:rPr>
        <w:t xml:space="preserve">872 common shares of Coca-Cola Co. with a value of $58.1925 per share.  </w:t>
      </w:r>
    </w:p>
    <w:p w14:paraId="2A5DC8B5" w14:textId="77777777" w:rsidR="009A37F3" w:rsidRPr="00814173" w:rsidRDefault="009A37F3" w:rsidP="00847728">
      <w:pPr>
        <w:jc w:val="both"/>
        <w:rPr>
          <w:rFonts w:ascii="Lato" w:hAnsi="Lato"/>
          <w:sz w:val="24"/>
          <w:szCs w:val="24"/>
        </w:rPr>
      </w:pPr>
    </w:p>
    <w:p w14:paraId="12BF968E" w14:textId="32D5CA66" w:rsidR="00AA12C7" w:rsidRPr="00814173" w:rsidRDefault="00AA12C7" w:rsidP="00AA12C7">
      <w:pPr>
        <w:rPr>
          <w:rFonts w:ascii="Lato" w:hAnsi="Lato"/>
          <w:bCs/>
          <w:sz w:val="24"/>
          <w:szCs w:val="24"/>
        </w:rPr>
      </w:pPr>
      <w:r w:rsidRPr="00814173">
        <w:rPr>
          <w:rFonts w:ascii="Lato" w:hAnsi="Lato"/>
          <w:bCs/>
          <w:sz w:val="24"/>
          <w:szCs w:val="24"/>
        </w:rPr>
        <w:t xml:space="preserve">It is requested that the Board of Education accept a donation from </w:t>
      </w:r>
      <w:r w:rsidRPr="00814173">
        <w:rPr>
          <w:rFonts w:ascii="Lato" w:hAnsi="Lato"/>
          <w:b/>
          <w:sz w:val="24"/>
          <w:szCs w:val="24"/>
        </w:rPr>
        <w:t>Truist Wealth Management on behalf of Mr. Robert Waltemeyer’s estate</w:t>
      </w:r>
      <w:r w:rsidRPr="00814173">
        <w:rPr>
          <w:rFonts w:ascii="Lato" w:hAnsi="Lato"/>
          <w:bCs/>
          <w:sz w:val="24"/>
          <w:szCs w:val="24"/>
        </w:rPr>
        <w:t xml:space="preserve"> in the amount of </w:t>
      </w:r>
    </w:p>
    <w:p w14:paraId="499DEE5F" w14:textId="500A551F" w:rsidR="00AA12C7" w:rsidRPr="00814173" w:rsidRDefault="00AA12C7" w:rsidP="00AA12C7">
      <w:pPr>
        <w:pStyle w:val="Default"/>
        <w:rPr>
          <w:rFonts w:ascii="Lato" w:hAnsi="Lato" w:cs="Arial"/>
          <w:bCs/>
        </w:rPr>
      </w:pPr>
      <w:r w:rsidRPr="00814173">
        <w:rPr>
          <w:rFonts w:ascii="Lato" w:hAnsi="Lato" w:cs="Arial"/>
          <w:b/>
        </w:rPr>
        <w:t>$23</w:t>
      </w:r>
      <w:r w:rsidR="002269B1">
        <w:rPr>
          <w:rFonts w:ascii="Lato" w:hAnsi="Lato" w:cs="Arial"/>
          <w:b/>
        </w:rPr>
        <w:t>,</w:t>
      </w:r>
      <w:r w:rsidRPr="00814173">
        <w:rPr>
          <w:rFonts w:ascii="Lato" w:hAnsi="Lato" w:cs="Arial"/>
          <w:b/>
        </w:rPr>
        <w:t>658.97</w:t>
      </w:r>
      <w:r w:rsidRPr="00814173">
        <w:rPr>
          <w:rFonts w:ascii="Lato" w:hAnsi="Lato" w:cs="Arial"/>
          <w:bCs/>
        </w:rPr>
        <w:t>.  This amount represents Fernbank Science Center’s share of accumulated income (interest and dividends) for 15</w:t>
      </w:r>
      <w:r w:rsidR="002269B1">
        <w:rPr>
          <w:rFonts w:ascii="Lato" w:hAnsi="Lato" w:cs="Arial"/>
          <w:bCs/>
        </w:rPr>
        <w:t>.</w:t>
      </w:r>
      <w:r w:rsidRPr="00814173">
        <w:rPr>
          <w:rFonts w:ascii="Lato" w:hAnsi="Lato" w:cs="Arial"/>
          <w:bCs/>
        </w:rPr>
        <w:t xml:space="preserve">872 common shares of Coca-Cola Co. with a value of $58.1925 per share as of August 26, 2025.  </w:t>
      </w:r>
      <w:r w:rsidRPr="00814173">
        <w:rPr>
          <w:rFonts w:ascii="Lato" w:hAnsi="Lato" w:cs="Arial"/>
          <w:bCs/>
          <w:color w:val="auto"/>
        </w:rPr>
        <w:t xml:space="preserve">The Robert V. Waltemeyer Trust agreement directs the Trustee to divide the Trust into two shares, the Family Share A and the Charitable Share B.  Fernbank Science Center is listed as one of the charities under Share B.  The Trustee (Truist Bank) has opened and is funding Share A and Share B from the Robert V. Waltemeyer Trust with the Coca-Cola stock as well as the accumulated income (interest and dividends). </w:t>
      </w:r>
      <w:r w:rsidRPr="00814173">
        <w:rPr>
          <w:rFonts w:ascii="Lato" w:hAnsi="Lato" w:cs="Arial"/>
          <w:bCs/>
        </w:rPr>
        <w:t xml:space="preserve">Fernbank Science Center’s share of accumulated income (interest and dividends) for 15,872 common shares of Coca-Cola Co. with a value of $58.1925 per share has an Estate Tax Value in the amount of $923, 631.36.  This number of Coke shares is subject to change, and the final number of Coke shares that is received may be less than the number that has been provided.  However, even if the number of shares changes, the basis of $58.1925 per share will not change.  </w:t>
      </w:r>
    </w:p>
    <w:p w14:paraId="732CF05F" w14:textId="77777777" w:rsidR="00AA12C7" w:rsidRPr="00814173" w:rsidRDefault="00AA12C7" w:rsidP="00AA12C7">
      <w:pPr>
        <w:pStyle w:val="Default"/>
        <w:rPr>
          <w:rFonts w:ascii="Lato" w:hAnsi="Lato" w:cs="Arial"/>
          <w:bCs/>
        </w:rPr>
      </w:pPr>
    </w:p>
    <w:p w14:paraId="3F56BDAC" w14:textId="77777777" w:rsidR="005A33D2" w:rsidRPr="00814173" w:rsidRDefault="005A33D2" w:rsidP="00847728">
      <w:pPr>
        <w:jc w:val="both"/>
        <w:rPr>
          <w:rFonts w:ascii="Lato" w:hAnsi="Lato"/>
          <w:sz w:val="24"/>
          <w:szCs w:val="24"/>
        </w:rPr>
      </w:pPr>
    </w:p>
    <w:p w14:paraId="7DB73C5B" w14:textId="01421A12" w:rsidR="005A33D2" w:rsidRPr="00814173" w:rsidRDefault="005A33D2" w:rsidP="00847728">
      <w:pPr>
        <w:jc w:val="both"/>
        <w:rPr>
          <w:rFonts w:ascii="Lato" w:hAnsi="Lato"/>
          <w:b/>
          <w:bCs/>
          <w:sz w:val="24"/>
          <w:szCs w:val="24"/>
          <w:u w:val="single"/>
        </w:rPr>
      </w:pPr>
      <w:r w:rsidRPr="00814173">
        <w:rPr>
          <w:rFonts w:ascii="Lato" w:hAnsi="Lato"/>
          <w:b/>
          <w:bCs/>
          <w:sz w:val="24"/>
          <w:szCs w:val="24"/>
          <w:u w:val="single"/>
        </w:rPr>
        <w:t xml:space="preserve">Contract Terms </w:t>
      </w:r>
    </w:p>
    <w:p w14:paraId="1A577258" w14:textId="77777777" w:rsidR="00AA12C7" w:rsidRPr="00814173" w:rsidRDefault="00AA12C7" w:rsidP="00AA12C7">
      <w:pPr>
        <w:pStyle w:val="Default"/>
        <w:rPr>
          <w:rFonts w:ascii="Lato" w:eastAsia="Times New Roman" w:hAnsi="Lato" w:cs="Times New Roman"/>
          <w:color w:val="auto"/>
        </w:rPr>
      </w:pPr>
      <w:r w:rsidRPr="00814173">
        <w:rPr>
          <w:rFonts w:ascii="Lato" w:hAnsi="Lato" w:cs="Arial"/>
          <w:bCs/>
        </w:rPr>
        <w:t xml:space="preserve">Income distributions will continue to occur periodically during the administration of the </w:t>
      </w:r>
      <w:r w:rsidRPr="00814173">
        <w:rPr>
          <w:rFonts w:ascii="Lato" w:hAnsi="Lato" w:cs="Arial"/>
          <w:bCs/>
          <w:color w:val="auto"/>
        </w:rPr>
        <w:t>Robert V. Waltemeyer Trust agreement</w:t>
      </w:r>
      <w:r w:rsidRPr="00814173">
        <w:rPr>
          <w:rFonts w:ascii="Lato" w:hAnsi="Lato" w:cs="Arial"/>
          <w:bCs/>
        </w:rPr>
        <w:t xml:space="preserve"> until the shares are officially transferred to Fernbank Science Center, DeKalb County School District.</w:t>
      </w:r>
    </w:p>
    <w:p w14:paraId="752F638A" w14:textId="77777777" w:rsidR="005A33D2" w:rsidRPr="00814173" w:rsidRDefault="005A33D2" w:rsidP="00847728">
      <w:pPr>
        <w:jc w:val="both"/>
        <w:rPr>
          <w:rFonts w:ascii="Lato" w:hAnsi="Lato"/>
          <w:sz w:val="24"/>
          <w:szCs w:val="24"/>
        </w:rPr>
      </w:pPr>
    </w:p>
    <w:p w14:paraId="10EF4F63" w14:textId="10CD4F8A" w:rsidR="005A33D2" w:rsidRPr="00814173" w:rsidRDefault="00F0018F" w:rsidP="00847728">
      <w:pPr>
        <w:jc w:val="both"/>
        <w:rPr>
          <w:rFonts w:ascii="Lato" w:hAnsi="Lato"/>
          <w:b/>
          <w:bCs/>
          <w:sz w:val="24"/>
          <w:szCs w:val="24"/>
          <w:u w:val="single"/>
        </w:rPr>
      </w:pPr>
      <w:r w:rsidRPr="00814173">
        <w:rPr>
          <w:rFonts w:ascii="Lato" w:hAnsi="Lato"/>
          <w:b/>
          <w:bCs/>
          <w:sz w:val="24"/>
          <w:szCs w:val="24"/>
          <w:u w:val="single"/>
        </w:rPr>
        <w:t>Scope of Work</w:t>
      </w:r>
    </w:p>
    <w:p w14:paraId="351DD75C" w14:textId="377069D8" w:rsidR="005A33D2" w:rsidRPr="00814173" w:rsidRDefault="00AA12C7" w:rsidP="00F0018F">
      <w:pPr>
        <w:rPr>
          <w:rFonts w:ascii="Lato" w:hAnsi="Lato"/>
          <w:sz w:val="24"/>
          <w:szCs w:val="24"/>
        </w:rPr>
      </w:pPr>
      <w:r w:rsidRPr="00814173">
        <w:rPr>
          <w:rStyle w:val="normaltextrun"/>
          <w:rFonts w:ascii="Lato" w:hAnsi="Lato" w:cs="Segoe UI"/>
          <w:sz w:val="24"/>
          <w:szCs w:val="24"/>
        </w:rPr>
        <w:t xml:space="preserve">The funding provided by Mr. Robert Waltemeyer’s estate in care of Truist Wealth Management in the amount of </w:t>
      </w:r>
      <w:r w:rsidRPr="00814173">
        <w:rPr>
          <w:rFonts w:ascii="Lato" w:hAnsi="Lato"/>
          <w:b/>
          <w:sz w:val="24"/>
          <w:szCs w:val="24"/>
        </w:rPr>
        <w:t>$23,658.97</w:t>
      </w:r>
      <w:r w:rsidRPr="00814173">
        <w:rPr>
          <w:rFonts w:ascii="Lato" w:hAnsi="Lato"/>
          <w:bCs/>
          <w:sz w:val="24"/>
          <w:szCs w:val="24"/>
        </w:rPr>
        <w:t xml:space="preserve"> </w:t>
      </w:r>
      <w:r w:rsidRPr="00814173">
        <w:rPr>
          <w:rStyle w:val="normaltextrun"/>
          <w:rFonts w:ascii="Lato" w:hAnsi="Lato" w:cs="Segoe UI"/>
          <w:sz w:val="24"/>
          <w:szCs w:val="24"/>
        </w:rPr>
        <w:t>will be utilized to support the Fernbank Science Center.</w:t>
      </w:r>
    </w:p>
    <w:sectPr w:rsidR="005A33D2" w:rsidRPr="00814173" w:rsidSect="00847728">
      <w:pgSz w:w="12240" w:h="15840"/>
      <w:pgMar w:top="99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A12D8"/>
    <w:multiLevelType w:val="hybridMultilevel"/>
    <w:tmpl w:val="24D42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5108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D2"/>
    <w:rsid w:val="00182152"/>
    <w:rsid w:val="00191F76"/>
    <w:rsid w:val="002269B1"/>
    <w:rsid w:val="00343EEE"/>
    <w:rsid w:val="00395FD1"/>
    <w:rsid w:val="005A33D2"/>
    <w:rsid w:val="00720B2A"/>
    <w:rsid w:val="00814173"/>
    <w:rsid w:val="00847728"/>
    <w:rsid w:val="00982E86"/>
    <w:rsid w:val="009A37F3"/>
    <w:rsid w:val="009F39A2"/>
    <w:rsid w:val="00AA12C7"/>
    <w:rsid w:val="00C00A41"/>
    <w:rsid w:val="00D0227D"/>
    <w:rsid w:val="00D919BF"/>
    <w:rsid w:val="00E023D9"/>
    <w:rsid w:val="00EC1483"/>
    <w:rsid w:val="00EF6A09"/>
    <w:rsid w:val="00F0018F"/>
    <w:rsid w:val="00F2571E"/>
    <w:rsid w:val="00F646A8"/>
    <w:rsid w:val="00FD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59B2"/>
  <w15:chartTrackingRefBased/>
  <w15:docId w15:val="{84626F2F-FEC3-4BFA-9C2B-02F21E3D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3D2"/>
    <w:pPr>
      <w:spacing w:after="0" w:line="239" w:lineRule="auto"/>
    </w:pPr>
    <w:rPr>
      <w:rFonts w:ascii="Arial" w:eastAsia="Arial" w:hAnsi="Arial" w:cs="Arial"/>
      <w:color w:val="000000"/>
    </w:rPr>
  </w:style>
  <w:style w:type="paragraph" w:styleId="Heading1">
    <w:name w:val="heading 1"/>
    <w:basedOn w:val="Normal"/>
    <w:next w:val="Normal"/>
    <w:link w:val="Heading1Char"/>
    <w:uiPriority w:val="9"/>
    <w:qFormat/>
    <w:rsid w:val="005A3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3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3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3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3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3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3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3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3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3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3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3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3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3D2"/>
    <w:rPr>
      <w:rFonts w:eastAsiaTheme="majorEastAsia" w:cstheme="majorBidi"/>
      <w:color w:val="272727" w:themeColor="text1" w:themeTint="D8"/>
    </w:rPr>
  </w:style>
  <w:style w:type="paragraph" w:styleId="Title">
    <w:name w:val="Title"/>
    <w:basedOn w:val="Normal"/>
    <w:next w:val="Normal"/>
    <w:link w:val="TitleChar"/>
    <w:uiPriority w:val="10"/>
    <w:qFormat/>
    <w:rsid w:val="005A3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3D2"/>
    <w:pPr>
      <w:spacing w:before="160"/>
      <w:jc w:val="center"/>
    </w:pPr>
    <w:rPr>
      <w:i/>
      <w:iCs/>
      <w:color w:val="404040" w:themeColor="text1" w:themeTint="BF"/>
    </w:rPr>
  </w:style>
  <w:style w:type="character" w:customStyle="1" w:styleId="QuoteChar">
    <w:name w:val="Quote Char"/>
    <w:basedOn w:val="DefaultParagraphFont"/>
    <w:link w:val="Quote"/>
    <w:uiPriority w:val="29"/>
    <w:rsid w:val="005A33D2"/>
    <w:rPr>
      <w:i/>
      <w:iCs/>
      <w:color w:val="404040" w:themeColor="text1" w:themeTint="BF"/>
    </w:rPr>
  </w:style>
  <w:style w:type="paragraph" w:styleId="ListParagraph">
    <w:name w:val="List Paragraph"/>
    <w:basedOn w:val="Normal"/>
    <w:uiPriority w:val="34"/>
    <w:qFormat/>
    <w:rsid w:val="005A33D2"/>
    <w:pPr>
      <w:ind w:left="720"/>
      <w:contextualSpacing/>
    </w:pPr>
  </w:style>
  <w:style w:type="character" w:styleId="IntenseEmphasis">
    <w:name w:val="Intense Emphasis"/>
    <w:basedOn w:val="DefaultParagraphFont"/>
    <w:uiPriority w:val="21"/>
    <w:qFormat/>
    <w:rsid w:val="005A33D2"/>
    <w:rPr>
      <w:i/>
      <w:iCs/>
      <w:color w:val="0F4761" w:themeColor="accent1" w:themeShade="BF"/>
    </w:rPr>
  </w:style>
  <w:style w:type="paragraph" w:styleId="IntenseQuote">
    <w:name w:val="Intense Quote"/>
    <w:basedOn w:val="Normal"/>
    <w:next w:val="Normal"/>
    <w:link w:val="IntenseQuoteChar"/>
    <w:uiPriority w:val="30"/>
    <w:qFormat/>
    <w:rsid w:val="005A3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3D2"/>
    <w:rPr>
      <w:i/>
      <w:iCs/>
      <w:color w:val="0F4761" w:themeColor="accent1" w:themeShade="BF"/>
    </w:rPr>
  </w:style>
  <w:style w:type="character" w:styleId="IntenseReference">
    <w:name w:val="Intense Reference"/>
    <w:basedOn w:val="DefaultParagraphFont"/>
    <w:uiPriority w:val="32"/>
    <w:qFormat/>
    <w:rsid w:val="005A33D2"/>
    <w:rPr>
      <w:b/>
      <w:bCs/>
      <w:smallCaps/>
      <w:color w:val="0F4761" w:themeColor="accent1" w:themeShade="BF"/>
      <w:spacing w:val="5"/>
    </w:rPr>
  </w:style>
  <w:style w:type="paragraph" w:customStyle="1" w:styleId="paragraph">
    <w:name w:val="paragraph"/>
    <w:basedOn w:val="Normal"/>
    <w:rsid w:val="00D919BF"/>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customStyle="1" w:styleId="normaltextrun">
    <w:name w:val="normaltextrun"/>
    <w:basedOn w:val="DefaultParagraphFont"/>
    <w:rsid w:val="00D919BF"/>
  </w:style>
  <w:style w:type="character" w:customStyle="1" w:styleId="eop">
    <w:name w:val="eop"/>
    <w:basedOn w:val="DefaultParagraphFont"/>
    <w:rsid w:val="00D919BF"/>
  </w:style>
  <w:style w:type="paragraph" w:customStyle="1" w:styleId="Default">
    <w:name w:val="Default"/>
    <w:rsid w:val="00AA12C7"/>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Stepney (Curriculum &amp; Instruction)</dc:creator>
  <cp:keywords/>
  <dc:description/>
  <cp:lastModifiedBy>Myra Stewart (Com, Engage, Innovation, Partn)</cp:lastModifiedBy>
  <cp:revision>2</cp:revision>
  <cp:lastPrinted>2025-09-05T13:08:00Z</cp:lastPrinted>
  <dcterms:created xsi:type="dcterms:W3CDTF">2025-09-10T20:12:00Z</dcterms:created>
  <dcterms:modified xsi:type="dcterms:W3CDTF">2025-09-10T20:12:00Z</dcterms:modified>
</cp:coreProperties>
</file>