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c="http://schemas.openxmlformats.org/drawingml/2006/chart" xmlns:pic="http://schemas.openxmlformats.org/drawingml/2006/picture" xmlns:a14="http://schemas.microsoft.com/office/drawing/2010/main" mc:Ignorable="w14 w15 w16se w16cid w16 w16cex w16sdtdh wp14">
  <w:body>
    <w:p w:rsidR="00D90981" w:rsidP="00D90981" w:rsidRDefault="00D90981" w14:paraId="7275AB2E" w14:textId="64ADE81D">
      <w:pPr>
        <w:jc w:val="center"/>
        <w:rPr>
          <w:rFonts w:ascii="Tahoma" w:hAnsi="Tahoma" w:cs="Tahoma"/>
          <w:b/>
          <w:bCs/>
          <w:sz w:val="24"/>
          <w:szCs w:val="24"/>
        </w:rPr>
      </w:pPr>
      <w:r w:rsidRPr="00402266">
        <w:rPr>
          <w:rFonts w:ascii="Tahoma" w:hAnsi="Tahoma" w:cs="Tahoma"/>
          <w:b/>
          <w:bCs/>
          <w:sz w:val="24"/>
          <w:szCs w:val="24"/>
        </w:rPr>
        <w:t xml:space="preserve">Chronology for </w:t>
      </w:r>
      <w:r>
        <w:rPr>
          <w:rFonts w:ascii="Tahoma" w:hAnsi="Tahoma" w:cs="Tahoma"/>
          <w:b/>
          <w:bCs/>
          <w:sz w:val="24"/>
          <w:szCs w:val="24"/>
        </w:rPr>
        <w:t>Board Agenda Item</w:t>
      </w:r>
    </w:p>
    <w:p w:rsidRPr="00402266" w:rsidR="00D90981" w:rsidP="00D90981" w:rsidRDefault="00D90981" w14:paraId="3D4CDB02" w14:textId="536C07D7">
      <w:pPr>
        <w:jc w:val="center"/>
        <w:rPr>
          <w:rFonts w:ascii="Tahoma" w:hAnsi="Tahoma" w:cs="Tahoma"/>
          <w:b/>
          <w:bCs/>
          <w:sz w:val="24"/>
          <w:szCs w:val="24"/>
        </w:rPr>
      </w:pPr>
      <w:r w:rsidRPr="00402266">
        <w:rPr>
          <w:rFonts w:ascii="Tahoma" w:hAnsi="Tahoma" w:cs="Tahoma"/>
          <w:b/>
          <w:bCs/>
          <w:sz w:val="24"/>
          <w:szCs w:val="24"/>
        </w:rPr>
        <w:t>Translation and Interpretation</w:t>
      </w:r>
    </w:p>
    <w:p w:rsidR="00D90981" w:rsidP="00D90981" w:rsidRDefault="00D90981" w14:paraId="2588F960" w14:textId="77777777">
      <w:pPr>
        <w:rPr>
          <w:rFonts w:ascii="Tahoma" w:hAnsi="Tahoma" w:cs="Tahoma"/>
          <w:b/>
          <w:bCs/>
          <w:sz w:val="24"/>
          <w:szCs w:val="24"/>
        </w:rPr>
      </w:pPr>
      <w:r w:rsidRPr="00402266">
        <w:rPr>
          <w:rFonts w:ascii="Tahoma" w:hAnsi="Tahoma" w:cs="Tahoma"/>
          <w:b/>
          <w:bCs/>
          <w:sz w:val="24"/>
          <w:szCs w:val="24"/>
        </w:rPr>
        <w:t>Scope:</w:t>
      </w:r>
    </w:p>
    <w:p w:rsidRPr="001622EA" w:rsidR="00D90981" w:rsidP="00D90981" w:rsidRDefault="00D90981" w14:paraId="12D3B0E5" w14:textId="4378F345">
      <w:pPr>
        <w:rPr>
          <w:rFonts w:ascii="Tahoma" w:hAnsi="Tahoma" w:cs="Tahoma"/>
          <w:sz w:val="24"/>
          <w:szCs w:val="24"/>
        </w:rPr>
      </w:pPr>
      <w:r w:rsidRPr="1C9A9AAF" w:rsidR="00D90981">
        <w:rPr>
          <w:rFonts w:ascii="Tahoma" w:hAnsi="Tahoma" w:cs="Tahoma"/>
          <w:sz w:val="24"/>
          <w:szCs w:val="24"/>
        </w:rPr>
        <w:t xml:space="preserve">Given the increasing number of students and families in the DeKalb County School District whose primary home language is other than English (PHLOTEs), the district </w:t>
      </w:r>
      <w:r w:rsidRPr="1C9A9AAF" w:rsidR="00D90981">
        <w:rPr>
          <w:rFonts w:ascii="Tahoma" w:hAnsi="Tahoma" w:cs="Tahoma"/>
          <w:sz w:val="24"/>
          <w:szCs w:val="24"/>
        </w:rPr>
        <w:t>anticipates</w:t>
      </w:r>
      <w:r w:rsidRPr="1C9A9AAF" w:rsidR="00D90981">
        <w:rPr>
          <w:rFonts w:ascii="Tahoma" w:hAnsi="Tahoma" w:cs="Tahoma"/>
          <w:sz w:val="24"/>
          <w:szCs w:val="24"/>
        </w:rPr>
        <w:t xml:space="preserve"> that expenditures for translation and interpretation services may exceed $100,000 per vendor during the</w:t>
      </w:r>
      <w:r w:rsidRPr="1C9A9AAF" w:rsidR="704D90CB">
        <w:rPr>
          <w:rFonts w:ascii="Tahoma" w:hAnsi="Tahoma" w:cs="Tahoma"/>
          <w:sz w:val="24"/>
          <w:szCs w:val="24"/>
        </w:rPr>
        <w:t xml:space="preserve"> 2026-2027</w:t>
      </w:r>
      <w:r w:rsidRPr="1C9A9AAF" w:rsidR="00D90981">
        <w:rPr>
          <w:rFonts w:ascii="Tahoma" w:hAnsi="Tahoma" w:cs="Tahoma"/>
          <w:sz w:val="24"/>
          <w:szCs w:val="24"/>
        </w:rPr>
        <w:t xml:space="preserve"> school year.</w:t>
      </w:r>
    </w:p>
    <w:p w:rsidRPr="001622EA" w:rsidR="00D90981" w:rsidP="00D90981" w:rsidRDefault="00D90981" w14:paraId="5E35EC93" w14:textId="008E4388">
      <w:pPr>
        <w:rPr>
          <w:rFonts w:ascii="Tahoma" w:hAnsi="Tahoma" w:cs="Tahoma"/>
          <w:sz w:val="24"/>
          <w:szCs w:val="24"/>
        </w:rPr>
      </w:pPr>
      <w:r w:rsidRPr="0FB6E819" w:rsidR="00D90981">
        <w:rPr>
          <w:rFonts w:ascii="Tahoma" w:hAnsi="Tahoma" w:cs="Tahoma"/>
          <w:sz w:val="24"/>
          <w:szCs w:val="24"/>
        </w:rPr>
        <w:t>To fulfill legal obligations under the Office for Civil Rights (OCR), the Individuals with Disabilities Education Act (IDEA), and Board Policy DJE, Board approval is requested for professional translation and interpretation services. The request covers the following vendors, with individual contracts potentially exceeding $100,000 and a combined total not to exceed $1,</w:t>
      </w:r>
      <w:r w:rsidRPr="0FB6E819" w:rsidR="01833C7F">
        <w:rPr>
          <w:rFonts w:ascii="Tahoma" w:hAnsi="Tahoma" w:cs="Tahoma"/>
          <w:sz w:val="24"/>
          <w:szCs w:val="24"/>
        </w:rPr>
        <w:t>5</w:t>
      </w:r>
      <w:r w:rsidRPr="0FB6E819" w:rsidR="00D90981">
        <w:rPr>
          <w:rFonts w:ascii="Tahoma" w:hAnsi="Tahoma" w:cs="Tahoma"/>
          <w:sz w:val="24"/>
          <w:szCs w:val="24"/>
        </w:rPr>
        <w:t>00,000</w:t>
      </w:r>
      <w:r w:rsidRPr="0FB6E819" w:rsidR="30A5003A">
        <w:rPr>
          <w:rFonts w:ascii="Tahoma" w:hAnsi="Tahoma" w:cs="Tahoma"/>
          <w:sz w:val="24"/>
          <w:szCs w:val="24"/>
        </w:rPr>
        <w:t>.00</w:t>
      </w:r>
      <w:r w:rsidRPr="0FB6E819" w:rsidR="00D90981">
        <w:rPr>
          <w:rFonts w:ascii="Tahoma" w:hAnsi="Tahoma" w:cs="Tahoma"/>
          <w:sz w:val="24"/>
          <w:szCs w:val="24"/>
        </w:rPr>
        <w:t>:</w:t>
      </w:r>
    </w:p>
    <w:p w:rsidRPr="001622EA" w:rsidR="00D90981" w:rsidP="00D90981" w:rsidRDefault="00D90981" w14:paraId="55C1A3C2" w14:textId="24277239">
      <w:pPr>
        <w:numPr>
          <w:ilvl w:val="0"/>
          <w:numId w:val="1"/>
        </w:numPr>
        <w:rPr>
          <w:rFonts w:ascii="Tahoma" w:hAnsi="Tahoma" w:cs="Tahoma"/>
          <w:sz w:val="24"/>
          <w:szCs w:val="24"/>
        </w:rPr>
      </w:pPr>
      <w:r w:rsidRPr="7D24135F" w:rsidR="00D90981">
        <w:rPr>
          <w:rFonts w:ascii="Tahoma" w:hAnsi="Tahoma" w:cs="Tahoma"/>
          <w:sz w:val="24"/>
          <w:szCs w:val="24"/>
        </w:rPr>
        <w:t xml:space="preserve">ALTA </w:t>
      </w:r>
      <w:r w:rsidRPr="7D24135F" w:rsidR="17EF0F16">
        <w:rPr>
          <w:rFonts w:ascii="Tahoma" w:hAnsi="Tahoma" w:cs="Tahoma"/>
          <w:sz w:val="24"/>
          <w:szCs w:val="24"/>
        </w:rPr>
        <w:t>Language Services</w:t>
      </w:r>
    </w:p>
    <w:p w:rsidRPr="001622EA" w:rsidR="00D90981" w:rsidP="00D90981" w:rsidRDefault="00D90981" w14:paraId="1D1FC50B" w14:textId="77777777">
      <w:pPr>
        <w:numPr>
          <w:ilvl w:val="0"/>
          <w:numId w:val="1"/>
        </w:numPr>
        <w:rPr>
          <w:rFonts w:ascii="Tahoma" w:hAnsi="Tahoma" w:cs="Tahoma"/>
          <w:sz w:val="24"/>
          <w:szCs w:val="24"/>
        </w:rPr>
      </w:pPr>
      <w:r w:rsidRPr="001622EA">
        <w:rPr>
          <w:rFonts w:ascii="Tahoma" w:hAnsi="Tahoma" w:cs="Tahoma"/>
          <w:sz w:val="24"/>
          <w:szCs w:val="24"/>
        </w:rPr>
        <w:t>LATN Language Solutions</w:t>
      </w:r>
    </w:p>
    <w:p w:rsidRPr="001622EA" w:rsidR="00D90981" w:rsidP="00D90981" w:rsidRDefault="00D90981" w14:paraId="66D6FF73" w14:textId="77777777">
      <w:pPr>
        <w:numPr>
          <w:ilvl w:val="0"/>
          <w:numId w:val="1"/>
        </w:numPr>
        <w:rPr>
          <w:rFonts w:ascii="Tahoma" w:hAnsi="Tahoma" w:cs="Tahoma"/>
          <w:sz w:val="24"/>
          <w:szCs w:val="24"/>
        </w:rPr>
      </w:pPr>
      <w:r w:rsidRPr="001622EA">
        <w:rPr>
          <w:rFonts w:ascii="Tahoma" w:hAnsi="Tahoma" w:cs="Tahoma"/>
          <w:sz w:val="24"/>
          <w:szCs w:val="24"/>
        </w:rPr>
        <w:t>Piedmont Global Language Service</w:t>
      </w:r>
    </w:p>
    <w:p w:rsidRPr="001622EA" w:rsidR="00D90981" w:rsidP="00D90981" w:rsidRDefault="00D90981" w14:paraId="6112DCEB" w14:textId="77777777">
      <w:pPr>
        <w:numPr>
          <w:ilvl w:val="0"/>
          <w:numId w:val="1"/>
        </w:numPr>
        <w:rPr>
          <w:rFonts w:ascii="Tahoma" w:hAnsi="Tahoma" w:cs="Tahoma"/>
          <w:sz w:val="24"/>
          <w:szCs w:val="24"/>
        </w:rPr>
      </w:pPr>
      <w:r w:rsidRPr="001622EA">
        <w:rPr>
          <w:rFonts w:ascii="Tahoma" w:hAnsi="Tahoma" w:cs="Tahoma"/>
          <w:sz w:val="24"/>
          <w:szCs w:val="24"/>
        </w:rPr>
        <w:t>Real Time Translation</w:t>
      </w:r>
    </w:p>
    <w:p w:rsidRPr="001622EA" w:rsidR="00D90981" w:rsidP="00D90981" w:rsidRDefault="00D90981" w14:paraId="2BB20860" w14:textId="77777777">
      <w:pPr>
        <w:numPr>
          <w:ilvl w:val="0"/>
          <w:numId w:val="1"/>
        </w:numPr>
        <w:rPr>
          <w:rFonts w:ascii="Tahoma" w:hAnsi="Tahoma" w:cs="Tahoma"/>
          <w:sz w:val="24"/>
          <w:szCs w:val="24"/>
        </w:rPr>
      </w:pPr>
      <w:proofErr w:type="spellStart"/>
      <w:r w:rsidRPr="001622EA">
        <w:rPr>
          <w:rFonts w:ascii="Tahoma" w:hAnsi="Tahoma" w:cs="Tahoma"/>
          <w:sz w:val="24"/>
          <w:szCs w:val="24"/>
        </w:rPr>
        <w:t>SeSo</w:t>
      </w:r>
      <w:proofErr w:type="spellEnd"/>
      <w:r w:rsidRPr="001622EA">
        <w:rPr>
          <w:rFonts w:ascii="Tahoma" w:hAnsi="Tahoma" w:cs="Tahoma"/>
          <w:sz w:val="24"/>
          <w:szCs w:val="24"/>
        </w:rPr>
        <w:t>, Inc.</w:t>
      </w:r>
    </w:p>
    <w:p w:rsidRPr="001622EA" w:rsidR="00D90981" w:rsidP="00D90981" w:rsidRDefault="00D90981" w14:paraId="67F81F04" w14:textId="77777777">
      <w:pPr>
        <w:numPr>
          <w:ilvl w:val="0"/>
          <w:numId w:val="1"/>
        </w:numPr>
        <w:rPr>
          <w:rFonts w:ascii="Tahoma" w:hAnsi="Tahoma" w:cs="Tahoma"/>
          <w:sz w:val="24"/>
          <w:szCs w:val="24"/>
        </w:rPr>
      </w:pPr>
      <w:r w:rsidRPr="001622EA">
        <w:rPr>
          <w:rFonts w:ascii="Tahoma" w:hAnsi="Tahoma" w:cs="Tahoma"/>
          <w:sz w:val="24"/>
          <w:szCs w:val="24"/>
        </w:rPr>
        <w:t>Translation Station, Inc.</w:t>
      </w:r>
    </w:p>
    <w:p w:rsidRPr="001622EA" w:rsidR="00D90981" w:rsidP="00D90981" w:rsidRDefault="00D90981" w14:paraId="34CADBFB" w14:textId="77777777">
      <w:pPr>
        <w:numPr>
          <w:ilvl w:val="0"/>
          <w:numId w:val="1"/>
        </w:numPr>
        <w:rPr>
          <w:rFonts w:ascii="Tahoma" w:hAnsi="Tahoma" w:cs="Tahoma"/>
          <w:sz w:val="24"/>
          <w:szCs w:val="24"/>
        </w:rPr>
      </w:pPr>
      <w:r w:rsidRPr="001622EA">
        <w:rPr>
          <w:rFonts w:ascii="Tahoma" w:hAnsi="Tahoma" w:cs="Tahoma"/>
          <w:sz w:val="24"/>
          <w:szCs w:val="24"/>
        </w:rPr>
        <w:t>Zab Translation Solutions</w:t>
      </w:r>
    </w:p>
    <w:p w:rsidRPr="001622EA" w:rsidR="00D90981" w:rsidP="00D90981" w:rsidRDefault="00D90981" w14:paraId="65660BDD" w14:textId="77777777">
      <w:pPr>
        <w:rPr>
          <w:rFonts w:ascii="Tahoma" w:hAnsi="Tahoma" w:cs="Tahoma"/>
          <w:sz w:val="24"/>
          <w:szCs w:val="24"/>
        </w:rPr>
      </w:pPr>
      <w:r w:rsidRPr="001622EA">
        <w:rPr>
          <w:rFonts w:ascii="Tahoma" w:hAnsi="Tahoma" w:cs="Tahoma"/>
          <w:sz w:val="24"/>
          <w:szCs w:val="24"/>
        </w:rPr>
        <w:t>This approval will allow the district to provide clear and effective communication to all families, ensuring compliance with federal and district requirements and supporting student success.</w:t>
      </w:r>
    </w:p>
    <w:p w:rsidR="009D4871" w:rsidP="00D90981" w:rsidRDefault="009D4871" w14:paraId="44D156ED" w14:textId="77777777">
      <w:pPr>
        <w:rPr>
          <w:rFonts w:ascii="Tahoma" w:hAnsi="Tahoma" w:cs="Tahoma"/>
          <w:b/>
          <w:bCs/>
          <w:sz w:val="24"/>
          <w:szCs w:val="24"/>
        </w:rPr>
      </w:pPr>
    </w:p>
    <w:p w:rsidR="00D90981" w:rsidP="00D90981" w:rsidRDefault="00D90981" w14:paraId="4DCD4287" w14:textId="381CD2D7">
      <w:pPr>
        <w:rPr>
          <w:rFonts w:ascii="Tahoma" w:hAnsi="Tahoma" w:cs="Tahoma"/>
          <w:b/>
          <w:bCs/>
          <w:sz w:val="24"/>
          <w:szCs w:val="24"/>
        </w:rPr>
      </w:pPr>
      <w:r w:rsidRPr="00D227B0">
        <w:rPr>
          <w:rFonts w:ascii="Tahoma" w:hAnsi="Tahoma" w:cs="Tahoma"/>
          <w:b/>
          <w:bCs/>
          <w:sz w:val="24"/>
          <w:szCs w:val="24"/>
        </w:rPr>
        <w:t>Contract/Terms</w:t>
      </w:r>
    </w:p>
    <w:p w:rsidRPr="009C085B" w:rsidR="00D90981" w:rsidP="0D8C15AA" w:rsidRDefault="00D90981" w14:paraId="567E1301" w14:textId="3FFB0F83">
      <w:pPr>
        <w:rPr>
          <w:rFonts w:ascii="Tahoma" w:hAnsi="Tahoma" w:cs="Tahoma"/>
          <w:sz w:val="24"/>
          <w:szCs w:val="24"/>
        </w:rPr>
      </w:pPr>
      <w:r w:rsidRPr="0D8C15AA" w:rsidR="00D90981">
        <w:rPr>
          <w:rFonts w:ascii="Tahoma" w:hAnsi="Tahoma" w:cs="Tahoma"/>
          <w:sz w:val="24"/>
          <w:szCs w:val="24"/>
        </w:rPr>
        <w:t>The contract term will be effective from July 1, 202</w:t>
      </w:r>
      <w:r w:rsidRPr="0D8C15AA" w:rsidR="624E33A7">
        <w:rPr>
          <w:rFonts w:ascii="Tahoma" w:hAnsi="Tahoma" w:cs="Tahoma"/>
          <w:sz w:val="24"/>
          <w:szCs w:val="24"/>
        </w:rPr>
        <w:t>6</w:t>
      </w:r>
      <w:r w:rsidRPr="0D8C15AA" w:rsidR="00D90981">
        <w:rPr>
          <w:rFonts w:ascii="Tahoma" w:hAnsi="Tahoma" w:cs="Tahoma"/>
          <w:sz w:val="24"/>
          <w:szCs w:val="24"/>
        </w:rPr>
        <w:t>, through June 30, 202</w:t>
      </w:r>
      <w:r w:rsidRPr="0D8C15AA" w:rsidR="43ED6D73">
        <w:rPr>
          <w:rFonts w:ascii="Tahoma" w:hAnsi="Tahoma" w:cs="Tahoma"/>
          <w:sz w:val="24"/>
          <w:szCs w:val="24"/>
        </w:rPr>
        <w:t>7</w:t>
      </w:r>
      <w:r w:rsidRPr="0D8C15AA" w:rsidR="00D90981">
        <w:rPr>
          <w:rFonts w:ascii="Tahoma" w:hAnsi="Tahoma" w:cs="Tahoma"/>
          <w:sz w:val="24"/>
          <w:szCs w:val="24"/>
        </w:rPr>
        <w:t xml:space="preserve">. The contract period will </w:t>
      </w:r>
      <w:r w:rsidRPr="0D8C15AA" w:rsidR="00D90981">
        <w:rPr>
          <w:rFonts w:ascii="Tahoma" w:hAnsi="Tahoma" w:cs="Tahoma"/>
          <w:sz w:val="24"/>
          <w:szCs w:val="24"/>
        </w:rPr>
        <w:t>commence</w:t>
      </w:r>
      <w:r w:rsidRPr="0D8C15AA" w:rsidR="00D90981">
        <w:rPr>
          <w:rFonts w:ascii="Tahoma" w:hAnsi="Tahoma" w:cs="Tahoma"/>
          <w:sz w:val="24"/>
          <w:szCs w:val="24"/>
        </w:rPr>
        <w:t xml:space="preserve"> upon Board approval and execution of the contract.</w:t>
      </w:r>
    </w:p>
    <w:p w:rsidRPr="009C085B" w:rsidR="00D90981" w:rsidP="0D8C15AA" w:rsidRDefault="00D90981" w14:paraId="3DABDEA9" w14:textId="261AB007">
      <w:pPr>
        <w:rPr>
          <w:rFonts w:ascii="Tahoma" w:hAnsi="Tahoma" w:cs="Tahoma"/>
          <w:sz w:val="24"/>
          <w:szCs w:val="24"/>
        </w:rPr>
      </w:pPr>
      <w:r w:rsidRPr="0D8C15AA" w:rsidR="00D90981">
        <w:rPr>
          <w:rFonts w:ascii="Tahoma" w:hAnsi="Tahoma" w:cs="Tahoma"/>
          <w:sz w:val="24"/>
          <w:szCs w:val="24"/>
        </w:rPr>
        <w:t>Please note that the ICAs (Independent Contractor Agreements) provided do not specify a contractual amount under Section D: Service Fees at this time, as the final amounts are pending approval of the FY2</w:t>
      </w:r>
      <w:r w:rsidRPr="0D8C15AA" w:rsidR="1C476817">
        <w:rPr>
          <w:rFonts w:ascii="Tahoma" w:hAnsi="Tahoma" w:cs="Tahoma"/>
          <w:sz w:val="24"/>
          <w:szCs w:val="24"/>
        </w:rPr>
        <w:t>7</w:t>
      </w:r>
      <w:r w:rsidRPr="0D8C15AA" w:rsidR="00D90981">
        <w:rPr>
          <w:rFonts w:ascii="Tahoma" w:hAnsi="Tahoma" w:cs="Tahoma"/>
          <w:sz w:val="24"/>
          <w:szCs w:val="24"/>
        </w:rPr>
        <w:t xml:space="preserve"> departmental budget.</w:t>
      </w:r>
    </w:p>
    <w:p w:rsidRPr="000443D4" w:rsidR="00D90981" w:rsidP="00D90981" w:rsidRDefault="00D90981" w14:paraId="0589D64F" w14:textId="77777777">
      <w:pPr>
        <w:rPr>
          <w:rFonts w:ascii="Tahoma" w:hAnsi="Tahoma" w:cs="Tahoma"/>
          <w:sz w:val="24"/>
          <w:szCs w:val="24"/>
        </w:rPr>
      </w:pPr>
    </w:p>
    <w:p w:rsidR="00D90981" w:rsidP="00D90981" w:rsidRDefault="00D90981" w14:paraId="13EF512B" w14:textId="77777777">
      <w:pPr>
        <w:rPr>
          <w:rFonts w:ascii="Tahoma" w:hAnsi="Tahoma" w:cs="Tahoma"/>
          <w:b/>
          <w:bCs/>
          <w:sz w:val="24"/>
          <w:szCs w:val="24"/>
        </w:rPr>
      </w:pPr>
      <w:r w:rsidRPr="00D227B0">
        <w:rPr>
          <w:rFonts w:ascii="Tahoma" w:hAnsi="Tahoma" w:cs="Tahoma"/>
          <w:b/>
          <w:bCs/>
          <w:sz w:val="24"/>
          <w:szCs w:val="24"/>
        </w:rPr>
        <w:lastRenderedPageBreak/>
        <w:t>Background:</w:t>
      </w:r>
    </w:p>
    <w:p w:rsidRPr="00D227B0" w:rsidR="00D90981" w:rsidP="00D90981" w:rsidRDefault="00D90981" w14:paraId="5F09A880" w14:textId="77777777">
      <w:pPr>
        <w:rPr>
          <w:rFonts w:ascii="Tahoma" w:hAnsi="Tahoma" w:cs="Tahoma"/>
          <w:sz w:val="24"/>
          <w:szCs w:val="24"/>
        </w:rPr>
      </w:pPr>
      <w:r w:rsidRPr="00D227B0">
        <w:rPr>
          <w:rFonts w:ascii="Tahoma" w:hAnsi="Tahoma" w:cs="Tahoma"/>
          <w:sz w:val="24"/>
          <w:szCs w:val="24"/>
        </w:rPr>
        <w:t xml:space="preserve">The </w:t>
      </w:r>
      <w:r>
        <w:rPr>
          <w:rFonts w:ascii="Tahoma" w:hAnsi="Tahoma" w:cs="Tahoma"/>
          <w:sz w:val="24"/>
          <w:szCs w:val="24"/>
        </w:rPr>
        <w:t xml:space="preserve">Division of Student Services </w:t>
      </w:r>
      <w:r w:rsidRPr="00D227B0">
        <w:rPr>
          <w:rFonts w:ascii="Tahoma" w:hAnsi="Tahoma" w:cs="Tahoma"/>
          <w:sz w:val="24"/>
          <w:szCs w:val="24"/>
        </w:rPr>
        <w:t>is seeking annual Board approval for translation and interpretation services to meet the needs of its diverse student and family population. As a recipient of federal grants, including the Individuals with Disabilities Education Act (IDEA), the district is required by law to ensure that all communications with parents and guardians are provided in a language they can understand. This requirement is reinforced by the Office for Civil Rights (OCR) and IDEA, which mandate that parental notices and important information be accessible to non-English-speaking families. Translation and interpretation services, including those needed for Individualized Education Program (IEP) meetings, are provided through approved agencies as part of the district’s compliance with OCR agreements.</w:t>
      </w:r>
    </w:p>
    <w:p w:rsidRPr="00D227B0" w:rsidR="00D90981" w:rsidP="00D90981" w:rsidRDefault="00D90981" w14:paraId="10921417" w14:textId="695441DB">
      <w:pPr>
        <w:rPr>
          <w:rFonts w:ascii="Tahoma" w:hAnsi="Tahoma" w:cs="Tahoma"/>
          <w:sz w:val="24"/>
          <w:szCs w:val="24"/>
        </w:rPr>
      </w:pPr>
      <w:r w:rsidRPr="1C9A9AAF" w:rsidR="00D90981">
        <w:rPr>
          <w:rFonts w:ascii="Tahoma" w:hAnsi="Tahoma" w:cs="Tahoma"/>
          <w:sz w:val="24"/>
          <w:szCs w:val="24"/>
        </w:rPr>
        <w:t xml:space="preserve">Each year, the demand for these services increases as the district now serves over 28,306 students whose primary home language is not English, </w:t>
      </w:r>
      <w:r w:rsidRPr="1C9A9AAF" w:rsidR="00D90981">
        <w:rPr>
          <w:rFonts w:ascii="Tahoma" w:hAnsi="Tahoma" w:cs="Tahoma"/>
          <w:sz w:val="24"/>
          <w:szCs w:val="24"/>
        </w:rPr>
        <w:t>representing</w:t>
      </w:r>
      <w:r w:rsidRPr="1C9A9AAF" w:rsidR="00D90981">
        <w:rPr>
          <w:rFonts w:ascii="Tahoma" w:hAnsi="Tahoma" w:cs="Tahoma"/>
          <w:sz w:val="24"/>
          <w:szCs w:val="24"/>
        </w:rPr>
        <w:t xml:space="preserve"> 17</w:t>
      </w:r>
      <w:r w:rsidRPr="1C9A9AAF" w:rsidR="2BBEEEAC">
        <w:rPr>
          <w:rFonts w:ascii="Tahoma" w:hAnsi="Tahoma" w:cs="Tahoma"/>
          <w:sz w:val="24"/>
          <w:szCs w:val="24"/>
        </w:rPr>
        <w:t>3</w:t>
      </w:r>
      <w:r w:rsidRPr="1C9A9AAF" w:rsidR="00D90981">
        <w:rPr>
          <w:rFonts w:ascii="Tahoma" w:hAnsi="Tahoma" w:cs="Tahoma"/>
          <w:sz w:val="24"/>
          <w:szCs w:val="24"/>
        </w:rPr>
        <w:t xml:space="preserve"> different languages and dialects. Effective communication with these families is essential for supporting student achievement and ensuring equal access to all district programs and services. </w:t>
      </w:r>
      <w:r w:rsidRPr="1C9A9AAF" w:rsidR="00D90981">
        <w:rPr>
          <w:rFonts w:ascii="Tahoma" w:hAnsi="Tahoma" w:cs="Tahoma"/>
          <w:sz w:val="24"/>
          <w:szCs w:val="24"/>
        </w:rPr>
        <w:t>In accordance with</w:t>
      </w:r>
      <w:r w:rsidRPr="1C9A9AAF" w:rsidR="00D90981">
        <w:rPr>
          <w:rFonts w:ascii="Tahoma" w:hAnsi="Tahoma" w:cs="Tahoma"/>
          <w:sz w:val="24"/>
          <w:szCs w:val="24"/>
        </w:rPr>
        <w:t xml:space="preserve"> Board Policy DJE III(C)(4), the district uses multiple vendors to provide high-quality translation and interpretation services across all schools, selecting providers based on their ability to meet the specific language needs of our community</w:t>
      </w:r>
      <w:r w:rsidR="00D90981">
        <w:rPr/>
        <w:t>.</w:t>
      </w:r>
    </w:p>
    <w:p w:rsidR="00557238" w:rsidP="00557238" w:rsidRDefault="00557238" w14:paraId="62956951" w14:textId="77777777">
      <w:pPr>
        <w:rPr>
          <w:b/>
        </w:rPr>
      </w:pPr>
    </w:p>
    <w:p w:rsidRPr="00271748" w:rsidR="00557238" w:rsidP="00557238" w:rsidRDefault="00557238" w14:paraId="18F64615" w14:textId="77777777">
      <w:pPr>
        <w:spacing w:line="342" w:lineRule="auto"/>
        <w:rPr>
          <w:b/>
        </w:rPr>
      </w:pPr>
      <w:r w:rsidRPr="00271748">
        <w:rPr>
          <w:b/>
        </w:rPr>
        <w:t>Financial Chronology:</w:t>
      </w:r>
    </w:p>
    <w:tbl>
      <w:tblPr>
        <w:tblW w:w="936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00" w:firstRow="0" w:lastRow="0" w:firstColumn="0" w:lastColumn="0" w:noHBand="1" w:noVBand="1"/>
      </w:tblPr>
      <w:tblGrid>
        <w:gridCol w:w="4305"/>
        <w:gridCol w:w="5055"/>
      </w:tblGrid>
      <w:tr w:rsidRPr="00271748" w:rsidR="00557238" w:rsidTr="1ED5A337" w14:paraId="344AC7DA" w14:textId="77777777">
        <w:tc>
          <w:tcPr>
            <w:tcW w:w="4305" w:type="dxa"/>
            <w:shd w:val="clear" w:color="auto" w:fill="CFE2F3"/>
            <w:tcMar>
              <w:top w:w="100" w:type="dxa"/>
              <w:left w:w="100" w:type="dxa"/>
              <w:bottom w:w="100" w:type="dxa"/>
              <w:right w:w="100" w:type="dxa"/>
            </w:tcMar>
          </w:tcPr>
          <w:p w:rsidRPr="00271748" w:rsidR="00557238" w:rsidP="008B45C0" w:rsidRDefault="00557238" w14:paraId="3AEB5E8F" w14:textId="77777777">
            <w:pPr>
              <w:widowControl w:val="0"/>
              <w:pBdr>
                <w:top w:val="nil"/>
                <w:left w:val="nil"/>
                <w:bottom w:val="nil"/>
                <w:right w:val="nil"/>
                <w:between w:val="nil"/>
              </w:pBdr>
              <w:spacing w:line="240" w:lineRule="auto"/>
              <w:rPr>
                <w:b/>
              </w:rPr>
            </w:pPr>
            <w:r w:rsidRPr="00271748">
              <w:rPr>
                <w:b/>
              </w:rPr>
              <w:t>Year</w:t>
            </w:r>
          </w:p>
        </w:tc>
        <w:tc>
          <w:tcPr>
            <w:tcW w:w="5055" w:type="dxa"/>
            <w:shd w:val="clear" w:color="auto" w:fill="CFE2F3"/>
            <w:tcMar>
              <w:top w:w="100" w:type="dxa"/>
              <w:left w:w="100" w:type="dxa"/>
              <w:bottom w:w="100" w:type="dxa"/>
              <w:right w:w="100" w:type="dxa"/>
            </w:tcMar>
          </w:tcPr>
          <w:p w:rsidRPr="00271748" w:rsidR="00557238" w:rsidP="008B45C0" w:rsidRDefault="00557238" w14:paraId="72976000" w14:textId="77777777">
            <w:pPr>
              <w:widowControl w:val="0"/>
              <w:pBdr>
                <w:top w:val="nil"/>
                <w:left w:val="nil"/>
                <w:bottom w:val="nil"/>
                <w:right w:val="nil"/>
                <w:between w:val="nil"/>
              </w:pBdr>
              <w:spacing w:line="240" w:lineRule="auto"/>
              <w:rPr>
                <w:b/>
              </w:rPr>
            </w:pPr>
            <w:r w:rsidRPr="00271748">
              <w:rPr>
                <w:b/>
              </w:rPr>
              <w:t>Cost</w:t>
            </w:r>
          </w:p>
        </w:tc>
      </w:tr>
      <w:tr w:rsidRPr="00271748" w:rsidR="00557238" w:rsidTr="1ED5A337" w14:paraId="42533E80" w14:textId="77777777">
        <w:tc>
          <w:tcPr>
            <w:tcW w:w="4305" w:type="dxa"/>
            <w:shd w:val="clear" w:color="auto" w:fill="auto"/>
            <w:tcMar>
              <w:top w:w="100" w:type="dxa"/>
              <w:left w:w="100" w:type="dxa"/>
              <w:bottom w:w="100" w:type="dxa"/>
              <w:right w:w="100" w:type="dxa"/>
            </w:tcMar>
          </w:tcPr>
          <w:p w:rsidRPr="00271748" w:rsidR="00557238" w:rsidP="1ED5A337" w:rsidRDefault="00557238" w14:paraId="33E1C6BF" w14:textId="77777777">
            <w:pPr>
              <w:widowControl w:val="0"/>
              <w:pBdr>
                <w:top w:val="nil" w:color="000000" w:sz="0" w:space="0"/>
                <w:left w:val="nil" w:color="000000" w:sz="0" w:space="0"/>
                <w:bottom w:val="nil" w:color="000000" w:sz="0" w:space="0"/>
                <w:right w:val="nil" w:color="000000" w:sz="0" w:space="0"/>
                <w:between w:val="nil" w:color="000000" w:sz="0" w:space="0"/>
              </w:pBdr>
              <w:spacing w:line="240" w:lineRule="auto"/>
              <w:rPr>
                <w:color w:val="auto"/>
              </w:rPr>
            </w:pPr>
            <w:r w:rsidRPr="1ED5A337" w:rsidR="00557238">
              <w:rPr>
                <w:color w:val="auto"/>
              </w:rPr>
              <w:t>2022</w:t>
            </w:r>
          </w:p>
        </w:tc>
        <w:tc>
          <w:tcPr>
            <w:tcW w:w="5055" w:type="dxa"/>
            <w:shd w:val="clear" w:color="auto" w:fill="auto"/>
            <w:tcMar>
              <w:top w:w="100" w:type="dxa"/>
              <w:left w:w="100" w:type="dxa"/>
              <w:bottom w:w="100" w:type="dxa"/>
              <w:right w:w="100" w:type="dxa"/>
            </w:tcMar>
          </w:tcPr>
          <w:p w:rsidRPr="00271748" w:rsidR="00557238" w:rsidP="1ED5A337" w:rsidRDefault="00557238" w14:paraId="77924AFA" w14:textId="5552C38E">
            <w:pPr>
              <w:widowControl w:val="0"/>
              <w:pBdr>
                <w:top w:val="nil" w:color="000000" w:sz="0" w:space="0"/>
                <w:left w:val="nil" w:color="000000" w:sz="0" w:space="0"/>
                <w:bottom w:val="nil" w:color="000000" w:sz="0" w:space="0"/>
                <w:right w:val="nil" w:color="000000" w:sz="0" w:space="0"/>
                <w:between w:val="nil" w:color="000000" w:sz="0" w:space="0"/>
              </w:pBdr>
              <w:spacing w:line="240" w:lineRule="auto"/>
              <w:rPr>
                <w:color w:val="auto"/>
              </w:rPr>
            </w:pPr>
            <w:r w:rsidRPr="1ED5A337" w:rsidR="00557238">
              <w:rPr>
                <w:color w:val="auto"/>
              </w:rPr>
              <w:t>$</w:t>
            </w:r>
            <w:r w:rsidRPr="1ED5A337" w:rsidR="411D7E00">
              <w:rPr>
                <w:color w:val="auto"/>
              </w:rPr>
              <w:t>1</w:t>
            </w:r>
            <w:r w:rsidRPr="1ED5A337" w:rsidR="00557238">
              <w:rPr>
                <w:color w:val="auto"/>
              </w:rPr>
              <w:t>,</w:t>
            </w:r>
            <w:r w:rsidRPr="1ED5A337" w:rsidR="30469781">
              <w:rPr>
                <w:color w:val="auto"/>
              </w:rPr>
              <w:t>000</w:t>
            </w:r>
            <w:r w:rsidRPr="1ED5A337" w:rsidR="00557238">
              <w:rPr>
                <w:color w:val="auto"/>
              </w:rPr>
              <w:t>,</w:t>
            </w:r>
            <w:r w:rsidRPr="1ED5A337" w:rsidR="30469781">
              <w:rPr>
                <w:color w:val="auto"/>
              </w:rPr>
              <w:t>0</w:t>
            </w:r>
            <w:r w:rsidRPr="1ED5A337" w:rsidR="00557238">
              <w:rPr>
                <w:color w:val="auto"/>
              </w:rPr>
              <w:t>00</w:t>
            </w:r>
            <w:r w:rsidRPr="1ED5A337" w:rsidR="00557238">
              <w:rPr>
                <w:color w:val="auto"/>
              </w:rPr>
              <w:t>.00</w:t>
            </w:r>
          </w:p>
        </w:tc>
      </w:tr>
      <w:tr w:rsidRPr="00271748" w:rsidR="00557238" w:rsidTr="1ED5A337" w14:paraId="460C2AD4" w14:textId="77777777">
        <w:tc>
          <w:tcPr>
            <w:tcW w:w="4305" w:type="dxa"/>
            <w:shd w:val="clear" w:color="auto" w:fill="auto"/>
            <w:tcMar>
              <w:top w:w="100" w:type="dxa"/>
              <w:left w:w="100" w:type="dxa"/>
              <w:bottom w:w="100" w:type="dxa"/>
              <w:right w:w="100" w:type="dxa"/>
            </w:tcMar>
          </w:tcPr>
          <w:p w:rsidRPr="00271748" w:rsidR="00557238" w:rsidP="1ED5A337" w:rsidRDefault="00557238" w14:paraId="0E917AB6" w14:textId="77777777">
            <w:pPr>
              <w:widowControl w:val="0"/>
              <w:pBdr>
                <w:top w:val="nil" w:color="000000" w:sz="0" w:space="0"/>
                <w:left w:val="nil" w:color="000000" w:sz="0" w:space="0"/>
                <w:bottom w:val="nil" w:color="000000" w:sz="0" w:space="0"/>
                <w:right w:val="nil" w:color="000000" w:sz="0" w:space="0"/>
                <w:between w:val="nil" w:color="000000" w:sz="0" w:space="0"/>
              </w:pBdr>
              <w:spacing w:line="240" w:lineRule="auto"/>
              <w:rPr>
                <w:color w:val="auto"/>
              </w:rPr>
            </w:pPr>
            <w:r w:rsidRPr="1ED5A337" w:rsidR="00557238">
              <w:rPr>
                <w:color w:val="auto"/>
              </w:rPr>
              <w:t>2023</w:t>
            </w:r>
          </w:p>
        </w:tc>
        <w:tc>
          <w:tcPr>
            <w:tcW w:w="5055" w:type="dxa"/>
            <w:shd w:val="clear" w:color="auto" w:fill="auto"/>
            <w:tcMar>
              <w:top w:w="100" w:type="dxa"/>
              <w:left w:w="100" w:type="dxa"/>
              <w:bottom w:w="100" w:type="dxa"/>
              <w:right w:w="100" w:type="dxa"/>
            </w:tcMar>
          </w:tcPr>
          <w:p w:rsidRPr="00271748" w:rsidR="00557238" w:rsidP="1ED5A337" w:rsidRDefault="00557238" w14:paraId="7E1D5328" w14:textId="208F03BF">
            <w:pPr>
              <w:widowControl w:val="0"/>
              <w:pBdr>
                <w:top w:val="nil" w:color="000000" w:sz="0" w:space="0"/>
                <w:left w:val="nil" w:color="000000" w:sz="0" w:space="0"/>
                <w:bottom w:val="nil" w:color="000000" w:sz="0" w:space="0"/>
                <w:right w:val="nil" w:color="000000" w:sz="0" w:space="0"/>
                <w:between w:val="nil" w:color="000000" w:sz="0" w:space="0"/>
              </w:pBdr>
              <w:spacing w:line="240" w:lineRule="auto"/>
              <w:rPr>
                <w:color w:val="auto"/>
              </w:rPr>
            </w:pPr>
            <w:r w:rsidRPr="1ED5A337" w:rsidR="00557238">
              <w:rPr>
                <w:color w:val="auto"/>
              </w:rPr>
              <w:t>$</w:t>
            </w:r>
            <w:r w:rsidRPr="1ED5A337" w:rsidR="30469781">
              <w:rPr>
                <w:color w:val="auto"/>
              </w:rPr>
              <w:t>1</w:t>
            </w:r>
            <w:r w:rsidRPr="1ED5A337" w:rsidR="00557238">
              <w:rPr>
                <w:color w:val="auto"/>
              </w:rPr>
              <w:t>,</w:t>
            </w:r>
            <w:r w:rsidRPr="1ED5A337" w:rsidR="30469781">
              <w:rPr>
                <w:color w:val="auto"/>
              </w:rPr>
              <w:t>000,000</w:t>
            </w:r>
            <w:r w:rsidRPr="1ED5A337" w:rsidR="00557238">
              <w:rPr>
                <w:color w:val="auto"/>
              </w:rPr>
              <w:t>.00</w:t>
            </w:r>
          </w:p>
        </w:tc>
      </w:tr>
      <w:tr w:rsidRPr="00271748" w:rsidR="00557238" w:rsidTr="1ED5A337" w14:paraId="6A648FF3" w14:textId="77777777">
        <w:tc>
          <w:tcPr>
            <w:tcW w:w="4305" w:type="dxa"/>
            <w:shd w:val="clear" w:color="auto" w:fill="auto"/>
            <w:tcMar>
              <w:top w:w="100" w:type="dxa"/>
              <w:left w:w="100" w:type="dxa"/>
              <w:bottom w:w="100" w:type="dxa"/>
              <w:right w:w="100" w:type="dxa"/>
            </w:tcMar>
          </w:tcPr>
          <w:p w:rsidRPr="00271748" w:rsidR="00557238" w:rsidP="1ED5A337" w:rsidRDefault="00557238" w14:paraId="5BD3E640" w14:textId="77777777">
            <w:pPr>
              <w:widowControl w:val="0"/>
              <w:pBdr>
                <w:top w:val="nil" w:color="000000" w:sz="0" w:space="0"/>
                <w:left w:val="nil" w:color="000000" w:sz="0" w:space="0"/>
                <w:bottom w:val="nil" w:color="000000" w:sz="0" w:space="0"/>
                <w:right w:val="nil" w:color="000000" w:sz="0" w:space="0"/>
                <w:between w:val="nil" w:color="000000" w:sz="0" w:space="0"/>
              </w:pBdr>
              <w:spacing w:line="240" w:lineRule="auto"/>
              <w:rPr>
                <w:color w:val="auto"/>
              </w:rPr>
            </w:pPr>
            <w:r w:rsidRPr="1ED5A337" w:rsidR="00557238">
              <w:rPr>
                <w:color w:val="auto"/>
              </w:rPr>
              <w:t>2024</w:t>
            </w:r>
          </w:p>
        </w:tc>
        <w:tc>
          <w:tcPr>
            <w:tcW w:w="5055" w:type="dxa"/>
            <w:shd w:val="clear" w:color="auto" w:fill="auto"/>
            <w:tcMar>
              <w:top w:w="100" w:type="dxa"/>
              <w:left w:w="100" w:type="dxa"/>
              <w:bottom w:w="100" w:type="dxa"/>
              <w:right w:w="100" w:type="dxa"/>
            </w:tcMar>
          </w:tcPr>
          <w:p w:rsidRPr="00271748" w:rsidR="00557238" w:rsidP="1ED5A337" w:rsidRDefault="00A92F5C" w14:paraId="6B34F9EB" w14:textId="1EBDDCE0">
            <w:pPr>
              <w:widowControl w:val="0"/>
              <w:pBdr>
                <w:top w:val="nil" w:color="000000" w:sz="0" w:space="0"/>
                <w:left w:val="nil" w:color="000000" w:sz="0" w:space="0"/>
                <w:bottom w:val="nil" w:color="000000" w:sz="0" w:space="0"/>
                <w:right w:val="nil" w:color="000000" w:sz="0" w:space="0"/>
                <w:between w:val="nil" w:color="000000" w:sz="0" w:space="0"/>
              </w:pBdr>
              <w:spacing w:line="240" w:lineRule="auto"/>
              <w:rPr>
                <w:color w:val="auto"/>
              </w:rPr>
            </w:pPr>
            <w:r w:rsidRPr="1ED5A337" w:rsidR="30469781">
              <w:rPr>
                <w:color w:val="auto"/>
              </w:rPr>
              <w:t>$</w:t>
            </w:r>
            <w:r w:rsidRPr="1ED5A337" w:rsidR="30469781">
              <w:rPr>
                <w:color w:val="auto"/>
              </w:rPr>
              <w:t>1</w:t>
            </w:r>
            <w:r w:rsidRPr="1ED5A337" w:rsidR="30469781">
              <w:rPr>
                <w:color w:val="auto"/>
              </w:rPr>
              <w:t>,</w:t>
            </w:r>
            <w:r w:rsidRPr="1ED5A337" w:rsidR="30469781">
              <w:rPr>
                <w:color w:val="auto"/>
              </w:rPr>
              <w:t>200,000.00</w:t>
            </w:r>
          </w:p>
        </w:tc>
      </w:tr>
      <w:tr w:rsidR="00557238" w:rsidTr="1ED5A337" w14:paraId="34872EE8" w14:textId="77777777">
        <w:tc>
          <w:tcPr>
            <w:tcW w:w="4305" w:type="dxa"/>
            <w:shd w:val="clear" w:color="auto" w:fill="auto"/>
            <w:tcMar>
              <w:top w:w="100" w:type="dxa"/>
              <w:left w:w="100" w:type="dxa"/>
              <w:bottom w:w="100" w:type="dxa"/>
              <w:right w:w="100" w:type="dxa"/>
            </w:tcMar>
          </w:tcPr>
          <w:p w:rsidR="00557238" w:rsidP="1ED5A337" w:rsidRDefault="00557238" w14:paraId="2EF3468E" w14:textId="77777777">
            <w:pPr>
              <w:widowControl w:val="0"/>
              <w:pBdr>
                <w:top w:val="nil" w:color="000000" w:sz="0" w:space="0"/>
                <w:left w:val="nil" w:color="000000" w:sz="0" w:space="0"/>
                <w:bottom w:val="nil" w:color="000000" w:sz="0" w:space="0"/>
                <w:right w:val="nil" w:color="000000" w:sz="0" w:space="0"/>
                <w:between w:val="nil" w:color="000000" w:sz="0" w:space="0"/>
              </w:pBdr>
              <w:spacing w:line="240" w:lineRule="auto"/>
              <w:rPr>
                <w:color w:val="auto"/>
              </w:rPr>
            </w:pPr>
            <w:r w:rsidRPr="1ED5A337" w:rsidR="00557238">
              <w:rPr>
                <w:color w:val="auto"/>
              </w:rPr>
              <w:t>2025</w:t>
            </w:r>
          </w:p>
        </w:tc>
        <w:tc>
          <w:tcPr>
            <w:tcW w:w="5055" w:type="dxa"/>
            <w:shd w:val="clear" w:color="auto" w:fill="auto"/>
            <w:tcMar>
              <w:top w:w="100" w:type="dxa"/>
              <w:left w:w="100" w:type="dxa"/>
              <w:bottom w:w="100" w:type="dxa"/>
              <w:right w:w="100" w:type="dxa"/>
            </w:tcMar>
          </w:tcPr>
          <w:p w:rsidR="00557238" w:rsidP="1ED5A337" w:rsidRDefault="00557238" w14:paraId="45E670EE" w14:textId="380978AA">
            <w:pPr>
              <w:widowControl w:val="0"/>
              <w:pBdr>
                <w:top w:val="nil" w:color="000000" w:sz="0" w:space="0"/>
                <w:left w:val="nil" w:color="000000" w:sz="0" w:space="0"/>
                <w:bottom w:val="nil" w:color="000000" w:sz="0" w:space="0"/>
                <w:right w:val="nil" w:color="000000" w:sz="0" w:space="0"/>
                <w:between w:val="nil" w:color="000000" w:sz="0" w:space="0"/>
              </w:pBdr>
              <w:spacing w:line="240" w:lineRule="auto"/>
              <w:rPr>
                <w:color w:val="auto"/>
                <w:highlight w:val="yellow"/>
              </w:rPr>
            </w:pPr>
            <w:r w:rsidRPr="1ED5A337" w:rsidR="00557238">
              <w:rPr>
                <w:color w:val="auto"/>
              </w:rPr>
              <w:t>$1,</w:t>
            </w:r>
            <w:r w:rsidRPr="1ED5A337" w:rsidR="30469781">
              <w:rPr>
                <w:color w:val="auto"/>
              </w:rPr>
              <w:t>200,000.00</w:t>
            </w:r>
            <w:r w:rsidRPr="1ED5A337" w:rsidR="00557238">
              <w:rPr>
                <w:color w:val="auto"/>
              </w:rPr>
              <w:t xml:space="preserve"> </w:t>
            </w:r>
          </w:p>
        </w:tc>
      </w:tr>
      <w:tr w:rsidR="00A92F5C" w:rsidTr="1ED5A337" w14:paraId="7EFC2064" w14:textId="77777777">
        <w:tc>
          <w:tcPr>
            <w:tcW w:w="4305" w:type="dxa"/>
            <w:shd w:val="clear" w:color="auto" w:fill="auto"/>
            <w:tcMar>
              <w:top w:w="100" w:type="dxa"/>
              <w:left w:w="100" w:type="dxa"/>
              <w:bottom w:w="100" w:type="dxa"/>
              <w:right w:w="100" w:type="dxa"/>
            </w:tcMar>
          </w:tcPr>
          <w:p w:rsidR="00A92F5C" w:rsidP="1ED5A337" w:rsidRDefault="00A92F5C" w14:paraId="0C432511" w14:textId="1552F0E8">
            <w:pPr>
              <w:widowControl w:val="0"/>
              <w:pBdr>
                <w:top w:val="nil" w:color="000000" w:sz="0" w:space="0"/>
                <w:left w:val="nil" w:color="000000" w:sz="0" w:space="0"/>
                <w:bottom w:val="nil" w:color="000000" w:sz="0" w:space="0"/>
                <w:right w:val="nil" w:color="000000" w:sz="0" w:space="0"/>
                <w:between w:val="nil" w:color="000000" w:sz="0" w:space="0"/>
              </w:pBdr>
              <w:spacing w:line="240" w:lineRule="auto"/>
              <w:rPr>
                <w:color w:val="auto"/>
              </w:rPr>
            </w:pPr>
            <w:r w:rsidRPr="1ED5A337" w:rsidR="30469781">
              <w:rPr>
                <w:color w:val="auto"/>
              </w:rPr>
              <w:t>2026</w:t>
            </w:r>
          </w:p>
        </w:tc>
        <w:tc>
          <w:tcPr>
            <w:tcW w:w="5055" w:type="dxa"/>
            <w:shd w:val="clear" w:color="auto" w:fill="auto"/>
            <w:tcMar>
              <w:top w:w="100" w:type="dxa"/>
              <w:left w:w="100" w:type="dxa"/>
              <w:bottom w:w="100" w:type="dxa"/>
              <w:right w:w="100" w:type="dxa"/>
            </w:tcMar>
          </w:tcPr>
          <w:p w:rsidRPr="00CA59D3" w:rsidR="00A92F5C" w:rsidP="1ED5A337" w:rsidRDefault="00A92F5C" w14:paraId="06F1A2B8" w14:textId="246533ED">
            <w:pPr>
              <w:widowControl w:val="0"/>
              <w:pBdr>
                <w:top w:val="nil" w:color="000000" w:sz="0" w:space="0"/>
                <w:left w:val="nil" w:color="000000" w:sz="0" w:space="0"/>
                <w:bottom w:val="nil" w:color="000000" w:sz="0" w:space="0"/>
                <w:right w:val="nil" w:color="000000" w:sz="0" w:space="0"/>
                <w:between w:val="nil" w:color="000000" w:sz="0" w:space="0"/>
              </w:pBdr>
              <w:spacing w:line="240" w:lineRule="auto"/>
              <w:rPr>
                <w:color w:val="auto"/>
              </w:rPr>
            </w:pPr>
            <w:r w:rsidRPr="1ED5A337" w:rsidR="707E7B68">
              <w:rPr>
                <w:color w:val="auto"/>
              </w:rPr>
              <w:t>$1,</w:t>
            </w:r>
            <w:r w:rsidRPr="1ED5A337" w:rsidR="707E7B68">
              <w:rPr>
                <w:color w:val="auto"/>
              </w:rPr>
              <w:t>300,000.00</w:t>
            </w:r>
            <w:r w:rsidRPr="1ED5A337" w:rsidR="707E7B68">
              <w:rPr>
                <w:color w:val="auto"/>
              </w:rPr>
              <w:t xml:space="preserve"> </w:t>
            </w:r>
          </w:p>
        </w:tc>
      </w:tr>
      <w:tr w:rsidR="0FB6E819" w:rsidTr="1ED5A337" w14:paraId="358008FF">
        <w:trPr>
          <w:trHeight w:val="300"/>
        </w:trPr>
        <w:tc>
          <w:tcPr>
            <w:tcW w:w="4305" w:type="dxa"/>
            <w:shd w:val="clear" w:color="auto" w:fill="auto"/>
            <w:tcMar>
              <w:top w:w="100" w:type="dxa"/>
              <w:left w:w="100" w:type="dxa"/>
              <w:bottom w:w="100" w:type="dxa"/>
              <w:right w:w="100" w:type="dxa"/>
            </w:tcMar>
          </w:tcPr>
          <w:p w:rsidR="77FD8AD6" w:rsidP="1ED5A337" w:rsidRDefault="77FD8AD6" w14:paraId="52DCABDB" w14:textId="5C811423">
            <w:pPr>
              <w:pStyle w:val="Normal"/>
              <w:spacing w:line="240" w:lineRule="auto"/>
              <w:rPr>
                <w:color w:val="auto"/>
              </w:rPr>
            </w:pPr>
            <w:r w:rsidRPr="1ED5A337" w:rsidR="5AB2460A">
              <w:rPr>
                <w:color w:val="auto"/>
              </w:rPr>
              <w:t>2027</w:t>
            </w:r>
          </w:p>
        </w:tc>
        <w:tc>
          <w:tcPr>
            <w:tcW w:w="5055" w:type="dxa"/>
            <w:shd w:val="clear" w:color="auto" w:fill="auto"/>
            <w:tcMar>
              <w:top w:w="100" w:type="dxa"/>
              <w:left w:w="100" w:type="dxa"/>
              <w:bottom w:w="100" w:type="dxa"/>
              <w:right w:w="100" w:type="dxa"/>
            </w:tcMar>
          </w:tcPr>
          <w:p w:rsidR="77FD8AD6" w:rsidP="1ED5A337" w:rsidRDefault="77FD8AD6" w14:paraId="404CE75A" w14:textId="4B4927E9">
            <w:pPr>
              <w:pStyle w:val="Normal"/>
              <w:spacing w:line="240" w:lineRule="auto"/>
              <w:rPr>
                <w:color w:val="auto"/>
              </w:rPr>
            </w:pPr>
            <w:r w:rsidRPr="1ED5A337" w:rsidR="5AB2460A">
              <w:rPr>
                <w:color w:val="auto"/>
              </w:rPr>
              <w:t xml:space="preserve">$1,500.000.00 </w:t>
            </w:r>
            <w:r w:rsidRPr="1ED5A337" w:rsidR="5AB2460A">
              <w:rPr>
                <w:color w:val="auto"/>
              </w:rPr>
              <w:t>(</w:t>
            </w:r>
            <w:r w:rsidRPr="1ED5A337" w:rsidR="5AB2460A">
              <w:rPr>
                <w:color w:val="auto"/>
              </w:rPr>
              <w:t>Requested)</w:t>
            </w:r>
          </w:p>
        </w:tc>
      </w:tr>
    </w:tbl>
    <w:p w:rsidR="00557238" w:rsidP="00557238" w:rsidRDefault="00557238" w14:paraId="411F48F5" w14:noSpellErr="1" w14:textId="550889D6"/>
    <w:p w:rsidR="00557238" w:rsidP="0FB6E819" w:rsidRDefault="00557238" w14:paraId="683EAE33" w14:textId="13BED674">
      <w:pPr>
        <w:pStyle w:val="Normal"/>
        <w:rPr>
          <w:b w:val="1"/>
          <w:bCs w:val="1"/>
        </w:rPr>
      </w:pPr>
      <w:r w:rsidR="62529B5E">
        <w:drawing>
          <wp:inline wp14:editId="644C10E3" wp14:anchorId="750DBD32">
            <wp:extent cx="5915025" cy="2686050"/>
            <wp:effectExtent l="0" t="0" r="0" b="0"/>
            <wp:docPr id="154061101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40611014" name="Picture 1540611014"/>
                    <pic:cNvPicPr/>
                  </pic:nvPicPr>
                  <pic:blipFill>
                    <a:blip xmlns:r="http://schemas.openxmlformats.org/officeDocument/2006/relationships" r:embed="rId2057243884">
                      <a:extLst>
                        <a:ext uri="{28A0092B-C50C-407E-A947-70E740481C1C}">
                          <a14:useLocalDpi xmlns:a14="http://schemas.microsoft.com/office/drawing/2010/main"/>
                        </a:ext>
                      </a:extLst>
                    </a:blip>
                    <a:stretch>
                      <a:fillRect/>
                    </a:stretch>
                  </pic:blipFill>
                  <pic:spPr>
                    <a:xfrm rot="0">
                      <a:off x="0" y="0"/>
                      <a:ext cx="5915025" cy="2686050"/>
                    </a:xfrm>
                    <a:prstGeom prst="rect">
                      <a:avLst/>
                    </a:prstGeom>
                  </pic:spPr>
                </pic:pic>
              </a:graphicData>
            </a:graphic>
          </wp:inline>
        </w:drawing>
      </w:r>
    </w:p>
    <w:p w:rsidR="00557238" w:rsidRDefault="00557238" w14:paraId="7FC924CA" w14:textId="77777777"/>
    <w:p w:rsidR="0FB6E819" w:rsidP="0FB6E819" w:rsidRDefault="0FB6E819" w14:paraId="33F600A9" w14:textId="52652A31">
      <w:pPr>
        <w:pStyle w:val="Normal"/>
      </w:pPr>
    </w:p>
    <w:sectPr w:rsidR="00557238">
      <w:pgSz w:w="12240" w:h="15840" w:orient="portrait"/>
      <w:pgMar w:top="1440" w:right="1440" w:bottom="1440" w:left="1440" w:header="720" w:footer="720" w:gutter="0"/>
      <w:cols w:space="720"/>
      <w:docGrid w:linePitch="360"/>
      <w:headerReference w:type="default" r:id="R5607fc36e3c7404b"/>
      <w:footerReference w:type="default" r:id="Rc1248d1e2cd3457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0D8C15AA" w:rsidTr="0D8C15AA" w14:paraId="3A9242AF">
      <w:trPr>
        <w:trHeight w:val="300"/>
      </w:trPr>
      <w:tc>
        <w:tcPr>
          <w:tcW w:w="3120" w:type="dxa"/>
          <w:tcMar/>
        </w:tcPr>
        <w:p w:rsidR="0D8C15AA" w:rsidP="0D8C15AA" w:rsidRDefault="0D8C15AA" w14:paraId="4594CBF0" w14:textId="4E8FF587">
          <w:pPr>
            <w:pStyle w:val="Header"/>
            <w:bidi w:val="0"/>
            <w:ind w:left="-115"/>
            <w:jc w:val="left"/>
          </w:pPr>
        </w:p>
      </w:tc>
      <w:tc>
        <w:tcPr>
          <w:tcW w:w="3120" w:type="dxa"/>
          <w:tcMar/>
        </w:tcPr>
        <w:p w:rsidR="0D8C15AA" w:rsidP="0D8C15AA" w:rsidRDefault="0D8C15AA" w14:paraId="006F29CA" w14:textId="24652B56">
          <w:pPr>
            <w:pStyle w:val="Header"/>
            <w:bidi w:val="0"/>
            <w:jc w:val="center"/>
          </w:pPr>
        </w:p>
      </w:tc>
      <w:tc>
        <w:tcPr>
          <w:tcW w:w="3120" w:type="dxa"/>
          <w:tcMar/>
        </w:tcPr>
        <w:p w:rsidR="0D8C15AA" w:rsidP="0D8C15AA" w:rsidRDefault="0D8C15AA" w14:paraId="0EB67510" w14:textId="51E5E0FD">
          <w:pPr>
            <w:pStyle w:val="Header"/>
            <w:bidi w:val="0"/>
            <w:ind w:right="-115"/>
            <w:jc w:val="right"/>
          </w:pPr>
        </w:p>
      </w:tc>
    </w:tr>
  </w:tbl>
  <w:p w:rsidR="0D8C15AA" w:rsidP="0D8C15AA" w:rsidRDefault="0D8C15AA" w14:paraId="4097B284" w14:textId="43C7F458">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0D8C15AA" w:rsidTr="0D8C15AA" w14:paraId="1B7E1DF3">
      <w:trPr>
        <w:trHeight w:val="300"/>
      </w:trPr>
      <w:tc>
        <w:tcPr>
          <w:tcW w:w="3120" w:type="dxa"/>
          <w:tcMar/>
        </w:tcPr>
        <w:p w:rsidR="0D8C15AA" w:rsidP="0D8C15AA" w:rsidRDefault="0D8C15AA" w14:paraId="4AA13C1D" w14:textId="59B8198D">
          <w:pPr>
            <w:pStyle w:val="Header"/>
            <w:bidi w:val="0"/>
            <w:ind w:left="-115"/>
            <w:jc w:val="left"/>
          </w:pPr>
        </w:p>
      </w:tc>
      <w:tc>
        <w:tcPr>
          <w:tcW w:w="3120" w:type="dxa"/>
          <w:tcMar/>
        </w:tcPr>
        <w:p w:rsidR="0D8C15AA" w:rsidP="0D8C15AA" w:rsidRDefault="0D8C15AA" w14:paraId="2119043E" w14:textId="739F3DB9">
          <w:pPr>
            <w:pStyle w:val="Header"/>
            <w:bidi w:val="0"/>
            <w:jc w:val="center"/>
          </w:pPr>
        </w:p>
      </w:tc>
      <w:tc>
        <w:tcPr>
          <w:tcW w:w="3120" w:type="dxa"/>
          <w:tcMar/>
        </w:tcPr>
        <w:p w:rsidR="0D8C15AA" w:rsidP="0D8C15AA" w:rsidRDefault="0D8C15AA" w14:paraId="748EB293" w14:textId="3B30D848">
          <w:pPr>
            <w:pStyle w:val="Header"/>
            <w:bidi w:val="0"/>
            <w:ind w:right="-115"/>
            <w:jc w:val="right"/>
          </w:pPr>
        </w:p>
      </w:tc>
    </w:tr>
  </w:tbl>
  <w:p w:rsidR="0D8C15AA" w:rsidP="0D8C15AA" w:rsidRDefault="0D8C15AA" w14:paraId="6BEEE2E1" w14:textId="1AD7E433">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2558C"/>
    <w:multiLevelType w:val="multilevel"/>
    <w:tmpl w:val="66541A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891697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981"/>
    <w:rsid w:val="000C1A3C"/>
    <w:rsid w:val="001E585F"/>
    <w:rsid w:val="001E585F"/>
    <w:rsid w:val="003335E4"/>
    <w:rsid w:val="00557238"/>
    <w:rsid w:val="0062296B"/>
    <w:rsid w:val="006921F0"/>
    <w:rsid w:val="00797AF9"/>
    <w:rsid w:val="00993C94"/>
    <w:rsid w:val="009A6327"/>
    <w:rsid w:val="009D4871"/>
    <w:rsid w:val="00A92F5C"/>
    <w:rsid w:val="00B34830"/>
    <w:rsid w:val="00D90981"/>
    <w:rsid w:val="00E42A82"/>
    <w:rsid w:val="00E847C5"/>
    <w:rsid w:val="00E9307D"/>
    <w:rsid w:val="00FD0D7F"/>
    <w:rsid w:val="01833C7F"/>
    <w:rsid w:val="0825D57C"/>
    <w:rsid w:val="0AB9CEA2"/>
    <w:rsid w:val="0D8C15AA"/>
    <w:rsid w:val="0FB6E819"/>
    <w:rsid w:val="14742623"/>
    <w:rsid w:val="17EF0F16"/>
    <w:rsid w:val="1C476817"/>
    <w:rsid w:val="1C9A9AAF"/>
    <w:rsid w:val="1ED5A337"/>
    <w:rsid w:val="2BBEEEAC"/>
    <w:rsid w:val="2FD36AB3"/>
    <w:rsid w:val="30469781"/>
    <w:rsid w:val="30A5003A"/>
    <w:rsid w:val="33BB0D60"/>
    <w:rsid w:val="3A871C44"/>
    <w:rsid w:val="4035F423"/>
    <w:rsid w:val="411D7E00"/>
    <w:rsid w:val="43ED6D73"/>
    <w:rsid w:val="44952FB2"/>
    <w:rsid w:val="4F04E6D3"/>
    <w:rsid w:val="54AB8EF8"/>
    <w:rsid w:val="5AB2460A"/>
    <w:rsid w:val="624E33A7"/>
    <w:rsid w:val="62529B5E"/>
    <w:rsid w:val="6C917A72"/>
    <w:rsid w:val="6D55FA6B"/>
    <w:rsid w:val="6EE7F890"/>
    <w:rsid w:val="704D90CB"/>
    <w:rsid w:val="707E7B68"/>
    <w:rsid w:val="77FD8AD6"/>
    <w:rsid w:val="7958FB69"/>
    <w:rsid w:val="7995E54E"/>
    <w:rsid w:val="79CFC888"/>
    <w:rsid w:val="7B057D40"/>
    <w:rsid w:val="7D2413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DBED5"/>
  <w15:chartTrackingRefBased/>
  <w15:docId w15:val="{BDA54ED5-842B-44FE-AACF-EF3443D8F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90981"/>
  </w:style>
  <w:style w:type="paragraph" w:styleId="Heading1">
    <w:name w:val="heading 1"/>
    <w:basedOn w:val="Normal"/>
    <w:next w:val="Normal"/>
    <w:link w:val="Heading1Char"/>
    <w:uiPriority w:val="9"/>
    <w:qFormat/>
    <w:rsid w:val="00D9098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098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09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09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09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09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09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09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098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9098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D9098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D9098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D9098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D9098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D9098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D9098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D9098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D90981"/>
    <w:rPr>
      <w:rFonts w:eastAsiaTheme="majorEastAsia" w:cstheme="majorBidi"/>
      <w:color w:val="272727" w:themeColor="text1" w:themeTint="D8"/>
    </w:rPr>
  </w:style>
  <w:style w:type="paragraph" w:styleId="Title">
    <w:name w:val="Title"/>
    <w:basedOn w:val="Normal"/>
    <w:next w:val="Normal"/>
    <w:link w:val="TitleChar"/>
    <w:uiPriority w:val="10"/>
    <w:qFormat/>
    <w:rsid w:val="00D9098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9098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D9098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D909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0981"/>
    <w:pPr>
      <w:spacing w:before="160"/>
      <w:jc w:val="center"/>
    </w:pPr>
    <w:rPr>
      <w:i/>
      <w:iCs/>
      <w:color w:val="404040" w:themeColor="text1" w:themeTint="BF"/>
    </w:rPr>
  </w:style>
  <w:style w:type="character" w:styleId="QuoteChar" w:customStyle="1">
    <w:name w:val="Quote Char"/>
    <w:basedOn w:val="DefaultParagraphFont"/>
    <w:link w:val="Quote"/>
    <w:uiPriority w:val="29"/>
    <w:rsid w:val="00D90981"/>
    <w:rPr>
      <w:i/>
      <w:iCs/>
      <w:color w:val="404040" w:themeColor="text1" w:themeTint="BF"/>
    </w:rPr>
  </w:style>
  <w:style w:type="paragraph" w:styleId="ListParagraph">
    <w:name w:val="List Paragraph"/>
    <w:basedOn w:val="Normal"/>
    <w:uiPriority w:val="34"/>
    <w:qFormat/>
    <w:rsid w:val="00D90981"/>
    <w:pPr>
      <w:ind w:left="720"/>
      <w:contextualSpacing/>
    </w:pPr>
  </w:style>
  <w:style w:type="character" w:styleId="IntenseEmphasis">
    <w:name w:val="Intense Emphasis"/>
    <w:basedOn w:val="DefaultParagraphFont"/>
    <w:uiPriority w:val="21"/>
    <w:qFormat/>
    <w:rsid w:val="00D90981"/>
    <w:rPr>
      <w:i/>
      <w:iCs/>
      <w:color w:val="0F4761" w:themeColor="accent1" w:themeShade="BF"/>
    </w:rPr>
  </w:style>
  <w:style w:type="paragraph" w:styleId="IntenseQuote">
    <w:name w:val="Intense Quote"/>
    <w:basedOn w:val="Normal"/>
    <w:next w:val="Normal"/>
    <w:link w:val="IntenseQuoteChar"/>
    <w:uiPriority w:val="30"/>
    <w:qFormat/>
    <w:rsid w:val="00D9098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D90981"/>
    <w:rPr>
      <w:i/>
      <w:iCs/>
      <w:color w:val="0F4761" w:themeColor="accent1" w:themeShade="BF"/>
    </w:rPr>
  </w:style>
  <w:style w:type="character" w:styleId="IntenseReference">
    <w:name w:val="Intense Reference"/>
    <w:basedOn w:val="DefaultParagraphFont"/>
    <w:uiPriority w:val="32"/>
    <w:qFormat/>
    <w:rsid w:val="00D90981"/>
    <w:rPr>
      <w:b/>
      <w:bCs/>
      <w:smallCaps/>
      <w:color w:val="0F4761" w:themeColor="accent1" w:themeShade="BF"/>
      <w:spacing w:val="5"/>
    </w:rPr>
  </w:style>
  <w:style w:type="paragraph" w:styleId="Header">
    <w:uiPriority w:val="99"/>
    <w:name w:val="header"/>
    <w:basedOn w:val="Normal"/>
    <w:unhideWhenUsed/>
    <w:rsid w:val="0D8C15AA"/>
    <w:pPr>
      <w:tabs>
        <w:tab w:val="center" w:leader="none" w:pos="4680"/>
        <w:tab w:val="right" w:leader="none" w:pos="9360"/>
      </w:tabs>
      <w:spacing w:after="0" w:line="240" w:lineRule="auto"/>
    </w:pPr>
  </w:style>
  <w:style w:type="paragraph" w:styleId="Footer">
    <w:uiPriority w:val="99"/>
    <w:name w:val="footer"/>
    <w:basedOn w:val="Normal"/>
    <w:unhideWhenUsed/>
    <w:rsid w:val="0D8C15AA"/>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webSettings" Target="webSettings.xml" Id="rId4" /><Relationship Type="http://schemas.openxmlformats.org/officeDocument/2006/relationships/header" Target="header.xml" Id="R5607fc36e3c7404b" /><Relationship Type="http://schemas.openxmlformats.org/officeDocument/2006/relationships/footer" Target="footer.xml" Id="Rc1248d1e2cd34579" /><Relationship Type="http://schemas.openxmlformats.org/officeDocument/2006/relationships/image" Target="/media/image.png" Id="rId205724388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Evelyn Hall (Int'l Student Screening)</dc:creator>
  <keywords/>
  <dc:description/>
  <lastModifiedBy>Evelyn Hall (International Student Screenin)</lastModifiedBy>
  <revision>7</revision>
  <lastPrinted>2025-05-28T13:09:00.0000000Z</lastPrinted>
  <dcterms:created xsi:type="dcterms:W3CDTF">2025-05-28T16:14:00.0000000Z</dcterms:created>
  <dcterms:modified xsi:type="dcterms:W3CDTF">2026-05-04T14:10:48.8507949Z</dcterms:modified>
</coreProperties>
</file>